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theme/themeOverride11.xml" ContentType="application/vnd.openxmlformats-officedocument.themeOverride+xml"/>
  <Override PartName="/word/charts/chart15.xml" ContentType="application/vnd.openxmlformats-officedocument.drawingml.chart+xml"/>
  <Override PartName="/word/theme/themeOverride12.xml" ContentType="application/vnd.openxmlformats-officedocument.themeOverride+xml"/>
  <Override PartName="/word/charts/chart16.xml" ContentType="application/vnd.openxmlformats-officedocument.drawingml.chart+xml"/>
  <Override PartName="/word/theme/themeOverride13.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78"/>
        <w:tblW w:w="9871" w:type="dxa"/>
        <w:tblLook w:val="04A0" w:firstRow="1" w:lastRow="0" w:firstColumn="1" w:lastColumn="0" w:noHBand="0" w:noVBand="1"/>
      </w:tblPr>
      <w:tblGrid>
        <w:gridCol w:w="5328"/>
        <w:gridCol w:w="4543"/>
      </w:tblGrid>
      <w:tr w:rsidR="00A10DA8">
        <w:tc>
          <w:tcPr>
            <w:tcW w:w="5328" w:type="dxa"/>
          </w:tcPr>
          <w:p w:rsidR="00A10DA8" w:rsidRDefault="00A10DA8">
            <w:pPr>
              <w:spacing w:after="0" w:line="240" w:lineRule="auto"/>
              <w:rPr>
                <w:rFonts w:ascii="Times New Roman" w:hAnsi="Times New Roman" w:cs="Times New Roman"/>
                <w:b/>
                <w:sz w:val="24"/>
                <w:szCs w:val="24"/>
              </w:rPr>
            </w:pPr>
            <w:bookmarkStart w:id="0" w:name="_Toc473537008"/>
          </w:p>
        </w:tc>
        <w:tc>
          <w:tcPr>
            <w:tcW w:w="4543" w:type="dxa"/>
          </w:tcPr>
          <w:p w:rsidR="00A10DA8" w:rsidRDefault="00A10DA8">
            <w:pPr>
              <w:spacing w:after="0" w:line="240" w:lineRule="auto"/>
              <w:rPr>
                <w:rFonts w:ascii="Times New Roman" w:hAnsi="Times New Roman" w:cs="Times New Roman"/>
                <w:b/>
                <w:sz w:val="24"/>
                <w:szCs w:val="24"/>
              </w:rPr>
            </w:pPr>
          </w:p>
        </w:tc>
      </w:tr>
    </w:tbl>
    <w:p w:rsidR="00A10DA8" w:rsidRDefault="00CA7E8A">
      <w:pPr>
        <w:spacing w:after="0" w:line="240" w:lineRule="auto"/>
        <w:jc w:val="right"/>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Утвержден: </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на годовом заседании Общего собрания </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акционеров АО «Чеченэнерго» __.__.2025</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(протокол от __.__.2025 № __)</w:t>
      </w:r>
    </w:p>
    <w:p w:rsidR="00A10DA8" w:rsidRDefault="00A10DA8">
      <w:pPr>
        <w:spacing w:after="0" w:line="240" w:lineRule="auto"/>
        <w:jc w:val="right"/>
        <w:rPr>
          <w:rFonts w:ascii="Times New Roman" w:hAnsi="Times New Roman" w:cs="Times New Roman"/>
          <w:sz w:val="24"/>
          <w:szCs w:val="24"/>
          <w:lang w:eastAsia="ru-RU"/>
        </w:rPr>
      </w:pPr>
    </w:p>
    <w:p w:rsidR="00A10DA8" w:rsidRDefault="00CA7E8A">
      <w:pPr>
        <w:spacing w:after="0" w:line="240" w:lineRule="auto"/>
        <w:jc w:val="right"/>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Предварительно утвержден: </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решением Совета директоров </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АО «Чеченэнерго» </w:t>
      </w:r>
      <w:r w:rsidR="009A33CF">
        <w:rPr>
          <w:rFonts w:ascii="Times New Roman" w:hAnsi="Times New Roman" w:cs="Times New Roman"/>
          <w:sz w:val="24"/>
          <w:szCs w:val="24"/>
          <w:lang w:eastAsia="ru-RU"/>
        </w:rPr>
        <w:t>05.05.</w:t>
      </w:r>
      <w:r>
        <w:rPr>
          <w:rFonts w:ascii="Times New Roman" w:hAnsi="Times New Roman" w:cs="Times New Roman"/>
          <w:sz w:val="24"/>
          <w:szCs w:val="24"/>
          <w:lang w:eastAsia="ru-RU"/>
        </w:rPr>
        <w:t>2025</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(протокол от </w:t>
      </w:r>
      <w:r w:rsidR="009A33CF">
        <w:rPr>
          <w:rFonts w:ascii="Times New Roman" w:hAnsi="Times New Roman" w:cs="Times New Roman"/>
          <w:sz w:val="24"/>
          <w:szCs w:val="24"/>
          <w:lang w:eastAsia="ru-RU"/>
        </w:rPr>
        <w:t>05.05.</w:t>
      </w:r>
      <w:r>
        <w:rPr>
          <w:rFonts w:ascii="Times New Roman" w:hAnsi="Times New Roman" w:cs="Times New Roman"/>
          <w:sz w:val="24"/>
          <w:szCs w:val="24"/>
          <w:lang w:eastAsia="ru-RU"/>
        </w:rPr>
        <w:t xml:space="preserve">2025 № </w:t>
      </w:r>
      <w:r w:rsidR="009A33CF">
        <w:rPr>
          <w:rFonts w:ascii="Times New Roman" w:hAnsi="Times New Roman" w:cs="Times New Roman"/>
          <w:sz w:val="24"/>
          <w:szCs w:val="24"/>
          <w:lang w:eastAsia="ru-RU"/>
        </w:rPr>
        <w:t>359</w:t>
      </w:r>
      <w:r>
        <w:rPr>
          <w:rFonts w:ascii="Times New Roman" w:hAnsi="Times New Roman" w:cs="Times New Roman"/>
          <w:sz w:val="24"/>
          <w:szCs w:val="24"/>
          <w:lang w:eastAsia="ru-RU"/>
        </w:rPr>
        <w:t>)</w:t>
      </w:r>
    </w:p>
    <w:p w:rsidR="00A10DA8" w:rsidRDefault="00A10DA8">
      <w:pPr>
        <w:spacing w:after="0" w:line="240" w:lineRule="auto"/>
        <w:jc w:val="right"/>
        <w:rPr>
          <w:rFonts w:ascii="Times New Roman" w:hAnsi="Times New Roman" w:cs="Times New Roman"/>
          <w:sz w:val="24"/>
          <w:szCs w:val="24"/>
          <w:lang w:eastAsia="ru-RU"/>
        </w:rPr>
      </w:pPr>
    </w:p>
    <w:p w:rsidR="00A10DA8" w:rsidRDefault="00CA7E8A">
      <w:pPr>
        <w:spacing w:after="0" w:line="240" w:lineRule="auto"/>
        <w:jc w:val="right"/>
        <w:rPr>
          <w:rFonts w:ascii="Times New Roman" w:hAnsi="Times New Roman" w:cs="Times New Roman"/>
          <w:b/>
          <w:sz w:val="24"/>
          <w:szCs w:val="24"/>
          <w:lang w:eastAsia="ru-RU"/>
        </w:rPr>
      </w:pPr>
      <w:r>
        <w:rPr>
          <w:rFonts w:ascii="Times New Roman" w:hAnsi="Times New Roman" w:cs="Times New Roman"/>
          <w:b/>
          <w:sz w:val="24"/>
          <w:szCs w:val="24"/>
          <w:lang w:eastAsia="ru-RU"/>
        </w:rPr>
        <w:t>Достоверность данных, содержащихся в</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b/>
          <w:sz w:val="24"/>
          <w:szCs w:val="24"/>
          <w:lang w:eastAsia="ru-RU"/>
        </w:rPr>
        <w:t>годовом отчете, подтверждена:</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решением Ревизионной комиссии</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АО «Чеченэнерго» </w:t>
      </w:r>
      <w:r w:rsidR="001132D9">
        <w:rPr>
          <w:rFonts w:ascii="Times New Roman" w:hAnsi="Times New Roman" w:cs="Times New Roman"/>
          <w:sz w:val="24"/>
          <w:szCs w:val="24"/>
          <w:lang w:eastAsia="ru-RU"/>
        </w:rPr>
        <w:t>18</w:t>
      </w:r>
      <w:r>
        <w:rPr>
          <w:rFonts w:ascii="Times New Roman" w:hAnsi="Times New Roman" w:cs="Times New Roman"/>
          <w:sz w:val="24"/>
          <w:szCs w:val="24"/>
          <w:lang w:eastAsia="ru-RU"/>
        </w:rPr>
        <w:t>.</w:t>
      </w:r>
      <w:r w:rsidR="001132D9">
        <w:rPr>
          <w:rFonts w:ascii="Times New Roman" w:hAnsi="Times New Roman" w:cs="Times New Roman"/>
          <w:sz w:val="24"/>
          <w:szCs w:val="24"/>
          <w:lang w:eastAsia="ru-RU"/>
        </w:rPr>
        <w:t>04</w:t>
      </w:r>
      <w:r>
        <w:rPr>
          <w:rFonts w:ascii="Times New Roman" w:hAnsi="Times New Roman" w:cs="Times New Roman"/>
          <w:sz w:val="24"/>
          <w:szCs w:val="24"/>
          <w:lang w:eastAsia="ru-RU"/>
        </w:rPr>
        <w:t>.2025</w:t>
      </w:r>
    </w:p>
    <w:p w:rsidR="00A10DA8" w:rsidRDefault="00CA7E8A">
      <w:pPr>
        <w:spacing w:after="0" w:line="24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(протокол от </w:t>
      </w:r>
      <w:r w:rsidR="001132D9">
        <w:rPr>
          <w:rFonts w:ascii="Times New Roman" w:hAnsi="Times New Roman" w:cs="Times New Roman"/>
          <w:sz w:val="24"/>
          <w:szCs w:val="24"/>
          <w:lang w:eastAsia="ru-RU"/>
        </w:rPr>
        <w:t>18</w:t>
      </w:r>
      <w:r>
        <w:rPr>
          <w:rFonts w:ascii="Times New Roman" w:hAnsi="Times New Roman" w:cs="Times New Roman"/>
          <w:sz w:val="24"/>
          <w:szCs w:val="24"/>
          <w:lang w:eastAsia="ru-RU"/>
        </w:rPr>
        <w:t>.</w:t>
      </w:r>
      <w:r w:rsidR="001132D9">
        <w:rPr>
          <w:rFonts w:ascii="Times New Roman" w:hAnsi="Times New Roman" w:cs="Times New Roman"/>
          <w:sz w:val="24"/>
          <w:szCs w:val="24"/>
          <w:lang w:eastAsia="ru-RU"/>
        </w:rPr>
        <w:t>04</w:t>
      </w:r>
      <w:r>
        <w:rPr>
          <w:rFonts w:ascii="Times New Roman" w:hAnsi="Times New Roman" w:cs="Times New Roman"/>
          <w:sz w:val="24"/>
          <w:szCs w:val="24"/>
          <w:lang w:eastAsia="ru-RU"/>
        </w:rPr>
        <w:t xml:space="preserve">.2025 № </w:t>
      </w:r>
      <w:r w:rsidR="001132D9">
        <w:rPr>
          <w:rFonts w:ascii="Times New Roman" w:hAnsi="Times New Roman" w:cs="Times New Roman"/>
          <w:sz w:val="24"/>
          <w:szCs w:val="24"/>
          <w:lang w:eastAsia="ru-RU"/>
        </w:rPr>
        <w:t>3</w:t>
      </w:r>
      <w:bookmarkStart w:id="1" w:name="_GoBack"/>
      <w:bookmarkEnd w:id="1"/>
      <w:r>
        <w:rPr>
          <w:rFonts w:ascii="Times New Roman" w:hAnsi="Times New Roman" w:cs="Times New Roman"/>
          <w:sz w:val="24"/>
          <w:szCs w:val="24"/>
          <w:lang w:eastAsia="ru-RU"/>
        </w:rPr>
        <w:t>)</w:t>
      </w:r>
    </w:p>
    <w:p w:rsidR="00A10DA8" w:rsidRDefault="00A10DA8">
      <w:pPr>
        <w:spacing w:after="0" w:line="240" w:lineRule="auto"/>
        <w:jc w:val="right"/>
        <w:rPr>
          <w:rFonts w:ascii="Times New Roman" w:hAnsi="Times New Roman" w:cs="Times New Roman"/>
          <w:sz w:val="24"/>
          <w:szCs w:val="24"/>
        </w:rPr>
      </w:pPr>
    </w:p>
    <w:p w:rsidR="00A10DA8" w:rsidRDefault="00A10DA8">
      <w:pPr>
        <w:spacing w:after="0" w:line="240" w:lineRule="auto"/>
        <w:jc w:val="right"/>
        <w:rPr>
          <w:rFonts w:ascii="Times New Roman" w:hAnsi="Times New Roman" w:cs="Times New Roman"/>
          <w:sz w:val="24"/>
          <w:szCs w:val="24"/>
        </w:rPr>
      </w:pPr>
    </w:p>
    <w:p w:rsidR="00A10DA8" w:rsidRDefault="00A10DA8">
      <w:pPr>
        <w:spacing w:after="0" w:line="240" w:lineRule="auto"/>
        <w:jc w:val="right"/>
        <w:rPr>
          <w:rFonts w:ascii="Times New Roman" w:hAnsi="Times New Roman" w:cs="Times New Roman"/>
          <w:sz w:val="24"/>
          <w:szCs w:val="24"/>
        </w:rPr>
      </w:pPr>
    </w:p>
    <w:p w:rsidR="00A10DA8" w:rsidRDefault="00A10DA8">
      <w:pPr>
        <w:spacing w:after="0" w:line="240" w:lineRule="auto"/>
        <w:rPr>
          <w:rFonts w:ascii="Times New Roman" w:hAnsi="Times New Roman" w:cs="Times New Roman"/>
          <w:sz w:val="24"/>
          <w:szCs w:val="24"/>
        </w:rPr>
      </w:pPr>
    </w:p>
    <w:p w:rsidR="00A10DA8" w:rsidRDefault="00A10DA8">
      <w:pPr>
        <w:spacing w:after="0" w:line="240" w:lineRule="auto"/>
        <w:rPr>
          <w:rFonts w:ascii="Times New Roman" w:hAnsi="Times New Roman" w:cs="Times New Roman"/>
          <w:sz w:val="24"/>
          <w:szCs w:val="24"/>
        </w:rPr>
      </w:pPr>
    </w:p>
    <w:p w:rsidR="00A10DA8" w:rsidRDefault="00A10DA8">
      <w:pPr>
        <w:spacing w:after="0" w:line="240" w:lineRule="auto"/>
        <w:rPr>
          <w:rFonts w:ascii="Times New Roman" w:hAnsi="Times New Roman" w:cs="Times New Roman"/>
          <w:sz w:val="24"/>
          <w:szCs w:val="24"/>
        </w:rPr>
      </w:pPr>
    </w:p>
    <w:p w:rsidR="00A10DA8" w:rsidRDefault="00A10DA8">
      <w:pPr>
        <w:spacing w:after="0" w:line="240" w:lineRule="auto"/>
        <w:jc w:val="right"/>
        <w:rPr>
          <w:rFonts w:ascii="Times New Roman" w:hAnsi="Times New Roman" w:cs="Times New Roman"/>
          <w:sz w:val="24"/>
          <w:szCs w:val="24"/>
        </w:rPr>
      </w:pPr>
    </w:p>
    <w:p w:rsidR="00A10DA8" w:rsidRDefault="00CA7E8A">
      <w:pPr>
        <w:spacing w:after="0" w:line="240" w:lineRule="auto"/>
        <w:jc w:val="center"/>
        <w:rPr>
          <w:rFonts w:ascii="Times New Roman" w:hAnsi="Times New Roman" w:cs="Times New Roman"/>
          <w:b/>
          <w:bCs/>
          <w:sz w:val="56"/>
          <w:szCs w:val="56"/>
        </w:rPr>
      </w:pPr>
      <w:r>
        <w:rPr>
          <w:rFonts w:ascii="Times New Roman" w:hAnsi="Times New Roman" w:cs="Times New Roman"/>
          <w:b/>
          <w:bCs/>
          <w:sz w:val="56"/>
          <w:szCs w:val="56"/>
        </w:rPr>
        <w:t>ГОДОВОЙ ОТЧЕТ</w:t>
      </w:r>
    </w:p>
    <w:p w:rsidR="00A10DA8" w:rsidRDefault="00CA7E8A">
      <w:pPr>
        <w:spacing w:after="0" w:line="240" w:lineRule="auto"/>
        <w:jc w:val="center"/>
        <w:rPr>
          <w:rFonts w:ascii="Times New Roman" w:hAnsi="Times New Roman" w:cs="Times New Roman"/>
          <w:b/>
          <w:bCs/>
          <w:sz w:val="40"/>
          <w:szCs w:val="40"/>
        </w:rPr>
      </w:pPr>
      <w:r>
        <w:rPr>
          <w:rFonts w:ascii="Times New Roman" w:hAnsi="Times New Roman" w:cs="Times New Roman"/>
          <w:b/>
          <w:bCs/>
          <w:sz w:val="40"/>
          <w:szCs w:val="40"/>
        </w:rPr>
        <w:t xml:space="preserve">АКЦИОНЕРНОГО ОБЩЕСТВА </w:t>
      </w:r>
      <w:r>
        <w:rPr>
          <w:rFonts w:ascii="Times New Roman" w:hAnsi="Times New Roman" w:cs="Times New Roman"/>
          <w:b/>
          <w:bCs/>
          <w:sz w:val="40"/>
          <w:szCs w:val="40"/>
          <w:u w:val="single"/>
        </w:rPr>
        <w:t>«ЧЕЧЕНЭНЕРГО»</w:t>
      </w:r>
      <w:r>
        <w:rPr>
          <w:rFonts w:ascii="Times New Roman" w:hAnsi="Times New Roman" w:cs="Times New Roman"/>
          <w:b/>
          <w:bCs/>
          <w:sz w:val="40"/>
          <w:szCs w:val="40"/>
        </w:rPr>
        <w:t xml:space="preserve"> </w:t>
      </w:r>
    </w:p>
    <w:p w:rsidR="00A10DA8" w:rsidRDefault="00CA7E8A">
      <w:pPr>
        <w:spacing w:after="0" w:line="240" w:lineRule="auto"/>
        <w:jc w:val="center"/>
        <w:rPr>
          <w:rFonts w:ascii="Times New Roman" w:hAnsi="Times New Roman" w:cs="Times New Roman"/>
          <w:b/>
          <w:bCs/>
          <w:sz w:val="40"/>
          <w:szCs w:val="40"/>
        </w:rPr>
      </w:pPr>
      <w:r>
        <w:rPr>
          <w:rFonts w:ascii="Times New Roman" w:hAnsi="Times New Roman" w:cs="Times New Roman"/>
          <w:b/>
          <w:bCs/>
          <w:sz w:val="40"/>
          <w:szCs w:val="40"/>
        </w:rPr>
        <w:t>ЗА 2024 ГОД</w:t>
      </w:r>
    </w:p>
    <w:p w:rsidR="00A10DA8" w:rsidRDefault="00A10DA8">
      <w:pPr>
        <w:spacing w:after="0" w:line="240" w:lineRule="auto"/>
        <w:rPr>
          <w:rFonts w:ascii="Times New Roman" w:eastAsia="Calibri" w:hAnsi="Times New Roman" w:cs="Times New Roman"/>
          <w:iCs/>
          <w:sz w:val="24"/>
          <w:szCs w:val="24"/>
        </w:rPr>
      </w:pPr>
    </w:p>
    <w:p w:rsidR="00A10DA8" w:rsidRDefault="00A10DA8">
      <w:pPr>
        <w:spacing w:after="0" w:line="240" w:lineRule="auto"/>
        <w:rPr>
          <w:rFonts w:ascii="Times New Roman" w:eastAsia="Calibri" w:hAnsi="Times New Roman" w:cs="Times New Roman"/>
          <w:iCs/>
          <w:sz w:val="24"/>
          <w:szCs w:val="24"/>
        </w:rPr>
      </w:pPr>
    </w:p>
    <w:p w:rsidR="00A10DA8" w:rsidRDefault="00A10DA8">
      <w:pPr>
        <w:spacing w:after="0" w:line="240" w:lineRule="auto"/>
        <w:rPr>
          <w:rFonts w:ascii="Times New Roman" w:eastAsia="Calibri" w:hAnsi="Times New Roman" w:cs="Times New Roman"/>
          <w:iCs/>
          <w:sz w:val="24"/>
          <w:szCs w:val="24"/>
        </w:rPr>
      </w:pPr>
    </w:p>
    <w:p w:rsidR="00A10DA8" w:rsidRDefault="00A10DA8">
      <w:pPr>
        <w:spacing w:after="0" w:line="240" w:lineRule="auto"/>
        <w:rPr>
          <w:rFonts w:ascii="Times New Roman" w:hAnsi="Times New Roman" w:cs="Times New Roman"/>
          <w:sz w:val="24"/>
          <w:szCs w:val="24"/>
        </w:rPr>
      </w:pPr>
    </w:p>
    <w:p w:rsidR="00A10DA8" w:rsidRDefault="00A10DA8">
      <w:pPr>
        <w:spacing w:after="0" w:line="240" w:lineRule="auto"/>
        <w:rPr>
          <w:rFonts w:ascii="Times New Roman" w:hAnsi="Times New Roman" w:cs="Times New Roman"/>
          <w:sz w:val="24"/>
          <w:szCs w:val="24"/>
        </w:rPr>
      </w:pPr>
    </w:p>
    <w:p w:rsidR="00A10DA8" w:rsidRDefault="00A10DA8">
      <w:pPr>
        <w:spacing w:after="0" w:line="240" w:lineRule="auto"/>
        <w:rPr>
          <w:rFonts w:ascii="Times New Roman" w:hAnsi="Times New Roman" w:cs="Times New Roman"/>
          <w:sz w:val="24"/>
          <w:szCs w:val="24"/>
        </w:rPr>
      </w:pPr>
    </w:p>
    <w:p w:rsidR="00A10DA8" w:rsidRDefault="00CA7E8A">
      <w:pPr>
        <w:spacing w:after="0" w:line="240" w:lineRule="auto"/>
        <w:rPr>
          <w:rFonts w:ascii="Times New Roman" w:hAnsi="Times New Roman" w:cs="Times New Roman"/>
          <w:b/>
          <w:sz w:val="28"/>
          <w:szCs w:val="28"/>
        </w:rPr>
      </w:pPr>
      <w:r>
        <w:rPr>
          <w:rFonts w:ascii="Times New Roman" w:hAnsi="Times New Roman" w:cs="Times New Roman"/>
          <w:b/>
          <w:sz w:val="28"/>
          <w:szCs w:val="28"/>
        </w:rPr>
        <w:t>Генеральный директор</w:t>
      </w:r>
    </w:p>
    <w:p w:rsidR="00A10DA8" w:rsidRDefault="00CA7E8A">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управляющей организации </w:t>
      </w:r>
    </w:p>
    <w:p w:rsidR="00A10DA8" w:rsidRDefault="00CA7E8A">
      <w:pPr>
        <w:spacing w:after="0" w:line="240" w:lineRule="auto"/>
        <w:rPr>
          <w:rFonts w:ascii="Times New Roman" w:hAnsi="Times New Roman" w:cs="Times New Roman"/>
          <w:b/>
          <w:sz w:val="28"/>
          <w:szCs w:val="28"/>
        </w:rPr>
      </w:pPr>
      <w:r>
        <w:rPr>
          <w:rFonts w:ascii="Times New Roman" w:hAnsi="Times New Roman" w:cs="Times New Roman"/>
          <w:b/>
          <w:sz w:val="28"/>
          <w:szCs w:val="28"/>
        </w:rPr>
        <w:t>- ПАО «Россети Северный Кавказ»</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Р.А. Левченко</w:t>
      </w:r>
    </w:p>
    <w:p w:rsidR="00A10DA8" w:rsidRDefault="00A10DA8">
      <w:pPr>
        <w:spacing w:after="0" w:line="240" w:lineRule="auto"/>
        <w:rPr>
          <w:rFonts w:ascii="Times New Roman" w:hAnsi="Times New Roman" w:cs="Times New Roman"/>
          <w:b/>
          <w:sz w:val="24"/>
          <w:szCs w:val="24"/>
        </w:rPr>
      </w:pPr>
    </w:p>
    <w:p w:rsidR="00A10DA8" w:rsidRDefault="00A10DA8">
      <w:pPr>
        <w:spacing w:after="0" w:line="240" w:lineRule="auto"/>
        <w:rPr>
          <w:rFonts w:ascii="Times New Roman" w:eastAsia="Calibri" w:hAnsi="Times New Roman" w:cs="Times New Roman"/>
          <w:iCs/>
          <w:sz w:val="24"/>
          <w:szCs w:val="24"/>
        </w:rPr>
      </w:pPr>
    </w:p>
    <w:p w:rsidR="00A10DA8" w:rsidRDefault="00A10DA8">
      <w:pPr>
        <w:spacing w:after="0" w:line="240" w:lineRule="auto"/>
        <w:rPr>
          <w:rFonts w:ascii="Times New Roman" w:hAnsi="Times New Roman" w:cs="Times New Roman"/>
          <w:b/>
          <w:sz w:val="24"/>
          <w:szCs w:val="24"/>
        </w:rPr>
      </w:pPr>
    </w:p>
    <w:p w:rsidR="00A10DA8" w:rsidRDefault="00A10DA8">
      <w:pPr>
        <w:spacing w:after="0" w:line="240" w:lineRule="auto"/>
        <w:jc w:val="center"/>
        <w:rPr>
          <w:rFonts w:ascii="Times New Roman" w:hAnsi="Times New Roman" w:cs="Times New Roman"/>
          <w:b/>
          <w:sz w:val="24"/>
          <w:szCs w:val="24"/>
        </w:rPr>
      </w:pPr>
    </w:p>
    <w:p w:rsidR="00A10DA8" w:rsidRDefault="00A10DA8">
      <w:pPr>
        <w:spacing w:after="0" w:line="240" w:lineRule="auto"/>
        <w:jc w:val="center"/>
        <w:rPr>
          <w:rFonts w:ascii="Times New Roman" w:hAnsi="Times New Roman" w:cs="Times New Roman"/>
          <w:b/>
          <w:sz w:val="24"/>
          <w:szCs w:val="24"/>
        </w:rPr>
      </w:pPr>
    </w:p>
    <w:p w:rsidR="00A10DA8" w:rsidRDefault="00A10DA8">
      <w:pPr>
        <w:spacing w:after="0" w:line="240" w:lineRule="auto"/>
        <w:jc w:val="center"/>
        <w:rPr>
          <w:rFonts w:ascii="Times New Roman" w:hAnsi="Times New Roman" w:cs="Times New Roman"/>
          <w:b/>
          <w:sz w:val="24"/>
          <w:szCs w:val="24"/>
        </w:rPr>
      </w:pPr>
    </w:p>
    <w:p w:rsidR="00A10DA8" w:rsidRDefault="00CA7E8A">
      <w:pPr>
        <w:spacing w:after="0" w:line="240" w:lineRule="auto"/>
        <w:jc w:val="center"/>
        <w:rPr>
          <w:sz w:val="24"/>
          <w:szCs w:val="24"/>
          <w:lang w:eastAsia="ru-RU"/>
        </w:rPr>
      </w:pPr>
      <w:r>
        <w:rPr>
          <w:sz w:val="24"/>
          <w:szCs w:val="24"/>
          <w:lang w:eastAsia="ru-RU"/>
        </w:rPr>
        <w:br w:type="page" w:clear="all"/>
      </w:r>
    </w:p>
    <w:p w:rsidR="00A10DA8" w:rsidRPr="009D2295" w:rsidRDefault="00CA7E8A">
      <w:pPr>
        <w:spacing w:after="0" w:line="240" w:lineRule="auto"/>
        <w:jc w:val="center"/>
        <w:rPr>
          <w:rFonts w:ascii="Times New Roman" w:hAnsi="Times New Roman" w:cs="Times New Roman"/>
          <w:b/>
          <w:sz w:val="24"/>
          <w:szCs w:val="24"/>
        </w:rPr>
      </w:pPr>
      <w:r w:rsidRPr="009D2295">
        <w:rPr>
          <w:rFonts w:ascii="Times New Roman" w:hAnsi="Times New Roman" w:cs="Times New Roman"/>
          <w:b/>
          <w:sz w:val="24"/>
          <w:szCs w:val="24"/>
        </w:rPr>
        <w:lastRenderedPageBreak/>
        <w:t>Оглавление</w:t>
      </w:r>
    </w:p>
    <w:bookmarkStart w:id="2" w:name="_Toc473537010" w:displacedByCustomXml="next"/>
    <w:sdt>
      <w:sdtPr>
        <w:rPr>
          <w:rFonts w:asciiTheme="minorHAnsi" w:eastAsiaTheme="minorHAnsi" w:hAnsiTheme="minorHAnsi" w:cstheme="minorBidi"/>
          <w:color w:val="auto"/>
          <w:sz w:val="24"/>
          <w:szCs w:val="24"/>
          <w:lang w:eastAsia="en-US"/>
        </w:rPr>
        <w:id w:val="1787461746"/>
        <w:docPartObj>
          <w:docPartGallery w:val="Table of Contents"/>
          <w:docPartUnique/>
        </w:docPartObj>
      </w:sdtPr>
      <w:sdtEndPr/>
      <w:sdtContent>
        <w:p w:rsidR="00A10DA8" w:rsidRPr="009D2295" w:rsidRDefault="00A10DA8">
          <w:pPr>
            <w:pStyle w:val="affffff"/>
            <w:spacing w:before="0" w:line="240" w:lineRule="auto"/>
            <w:rPr>
              <w:sz w:val="24"/>
              <w:szCs w:val="24"/>
            </w:rPr>
          </w:pPr>
        </w:p>
        <w:p w:rsidR="006C5ED6" w:rsidRDefault="00CA7E8A">
          <w:pPr>
            <w:pStyle w:val="1f2"/>
            <w:rPr>
              <w:rFonts w:asciiTheme="minorHAnsi" w:eastAsiaTheme="minorEastAsia" w:hAnsiTheme="minorHAnsi" w:cstheme="minorBidi"/>
              <w:b w:val="0"/>
              <w:bCs w:val="0"/>
              <w:iCs w:val="0"/>
              <w:noProof/>
              <w:sz w:val="22"/>
              <w:szCs w:val="22"/>
              <w:lang w:eastAsia="ru-RU"/>
            </w:rPr>
          </w:pPr>
          <w:r w:rsidRPr="009D2295">
            <w:rPr>
              <w:sz w:val="24"/>
              <w:lang w:eastAsia="ru-RU"/>
            </w:rPr>
            <w:fldChar w:fldCharType="begin"/>
          </w:r>
          <w:r w:rsidRPr="009D2295">
            <w:rPr>
              <w:sz w:val="24"/>
              <w:lang w:eastAsia="ru-RU"/>
            </w:rPr>
            <w:instrText xml:space="preserve"> TOC \o "1-2" \h \z \u </w:instrText>
          </w:r>
          <w:r w:rsidRPr="009D2295">
            <w:rPr>
              <w:sz w:val="24"/>
              <w:lang w:eastAsia="ru-RU"/>
            </w:rPr>
            <w:fldChar w:fldCharType="separate"/>
          </w:r>
          <w:hyperlink w:anchor="_Toc195780406" w:history="1">
            <w:r w:rsidR="006C5ED6" w:rsidRPr="00DF78B3">
              <w:rPr>
                <w:rStyle w:val="afb"/>
                <w:noProof/>
              </w:rPr>
              <w:t>Обращение Председателя Совета директоров АО «Чеченэнерго»</w:t>
            </w:r>
            <w:r w:rsidR="006C5ED6">
              <w:rPr>
                <w:noProof/>
                <w:webHidden/>
              </w:rPr>
              <w:tab/>
            </w:r>
            <w:r w:rsidR="006C5ED6">
              <w:rPr>
                <w:noProof/>
                <w:webHidden/>
              </w:rPr>
              <w:fldChar w:fldCharType="begin"/>
            </w:r>
            <w:r w:rsidR="006C5ED6">
              <w:rPr>
                <w:noProof/>
                <w:webHidden/>
              </w:rPr>
              <w:instrText xml:space="preserve"> PAGEREF _Toc195780406 \h </w:instrText>
            </w:r>
            <w:r w:rsidR="006C5ED6">
              <w:rPr>
                <w:noProof/>
                <w:webHidden/>
              </w:rPr>
            </w:r>
            <w:r w:rsidR="006C5ED6">
              <w:rPr>
                <w:noProof/>
                <w:webHidden/>
              </w:rPr>
              <w:fldChar w:fldCharType="separate"/>
            </w:r>
            <w:r w:rsidR="006C5ED6">
              <w:rPr>
                <w:noProof/>
                <w:webHidden/>
              </w:rPr>
              <w:t>4</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07" w:history="1">
            <w:r w:rsidR="006C5ED6" w:rsidRPr="00DF78B3">
              <w:rPr>
                <w:rStyle w:val="afb"/>
                <w:noProof/>
              </w:rPr>
              <w:t>Обращение Генерального директора управляющей организации – ПАО «Россети Северный Кавказ»</w:t>
            </w:r>
            <w:r w:rsidR="006C5ED6">
              <w:rPr>
                <w:noProof/>
                <w:webHidden/>
              </w:rPr>
              <w:tab/>
            </w:r>
            <w:r w:rsidR="006C5ED6">
              <w:rPr>
                <w:noProof/>
                <w:webHidden/>
              </w:rPr>
              <w:fldChar w:fldCharType="begin"/>
            </w:r>
            <w:r w:rsidR="006C5ED6">
              <w:rPr>
                <w:noProof/>
                <w:webHidden/>
              </w:rPr>
              <w:instrText xml:space="preserve"> PAGEREF _Toc195780407 \h </w:instrText>
            </w:r>
            <w:r w:rsidR="006C5ED6">
              <w:rPr>
                <w:noProof/>
                <w:webHidden/>
              </w:rPr>
            </w:r>
            <w:r w:rsidR="006C5ED6">
              <w:rPr>
                <w:noProof/>
                <w:webHidden/>
              </w:rPr>
              <w:fldChar w:fldCharType="separate"/>
            </w:r>
            <w:r w:rsidR="006C5ED6">
              <w:rPr>
                <w:noProof/>
                <w:webHidden/>
              </w:rPr>
              <w:t>5</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08" w:history="1">
            <w:r w:rsidR="006C5ED6" w:rsidRPr="00DF78B3">
              <w:rPr>
                <w:rStyle w:val="afb"/>
                <w:noProof/>
              </w:rPr>
              <w:t>О Компании</w:t>
            </w:r>
            <w:r w:rsidR="006C5ED6">
              <w:rPr>
                <w:noProof/>
                <w:webHidden/>
              </w:rPr>
              <w:tab/>
            </w:r>
            <w:r w:rsidR="006C5ED6">
              <w:rPr>
                <w:noProof/>
                <w:webHidden/>
              </w:rPr>
              <w:fldChar w:fldCharType="begin"/>
            </w:r>
            <w:r w:rsidR="006C5ED6">
              <w:rPr>
                <w:noProof/>
                <w:webHidden/>
              </w:rPr>
              <w:instrText xml:space="preserve"> PAGEREF _Toc195780408 \h </w:instrText>
            </w:r>
            <w:r w:rsidR="006C5ED6">
              <w:rPr>
                <w:noProof/>
                <w:webHidden/>
              </w:rPr>
            </w:r>
            <w:r w:rsidR="006C5ED6">
              <w:rPr>
                <w:noProof/>
                <w:webHidden/>
              </w:rPr>
              <w:fldChar w:fldCharType="separate"/>
            </w:r>
            <w:r w:rsidR="006C5ED6">
              <w:rPr>
                <w:noProof/>
                <w:webHidden/>
              </w:rPr>
              <w:t>7</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09" w:history="1">
            <w:r w:rsidR="006C5ED6" w:rsidRPr="00DF78B3">
              <w:rPr>
                <w:rStyle w:val="afb"/>
                <w:noProof/>
              </w:rPr>
              <w:t>Стратегический отчет</w:t>
            </w:r>
            <w:r w:rsidR="006C5ED6">
              <w:rPr>
                <w:noProof/>
                <w:webHidden/>
              </w:rPr>
              <w:tab/>
            </w:r>
            <w:r w:rsidR="006C5ED6">
              <w:rPr>
                <w:noProof/>
                <w:webHidden/>
              </w:rPr>
              <w:fldChar w:fldCharType="begin"/>
            </w:r>
            <w:r w:rsidR="006C5ED6">
              <w:rPr>
                <w:noProof/>
                <w:webHidden/>
              </w:rPr>
              <w:instrText xml:space="preserve"> PAGEREF _Toc195780409 \h </w:instrText>
            </w:r>
            <w:r w:rsidR="006C5ED6">
              <w:rPr>
                <w:noProof/>
                <w:webHidden/>
              </w:rPr>
            </w:r>
            <w:r w:rsidR="006C5ED6">
              <w:rPr>
                <w:noProof/>
                <w:webHidden/>
              </w:rPr>
              <w:fldChar w:fldCharType="separate"/>
            </w:r>
            <w:r w:rsidR="006C5ED6">
              <w:rPr>
                <w:noProof/>
                <w:webHidden/>
              </w:rPr>
              <w:t>8</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0" w:history="1">
            <w:r w:rsidR="006C5ED6" w:rsidRPr="00DF78B3">
              <w:rPr>
                <w:rStyle w:val="afb"/>
                <w:noProof/>
              </w:rPr>
              <w:t>Положение Компании на рынке и конкурентная среда</w:t>
            </w:r>
            <w:r w:rsidR="006C5ED6">
              <w:rPr>
                <w:noProof/>
                <w:webHidden/>
              </w:rPr>
              <w:tab/>
            </w:r>
            <w:r w:rsidR="006C5ED6">
              <w:rPr>
                <w:noProof/>
                <w:webHidden/>
              </w:rPr>
              <w:fldChar w:fldCharType="begin"/>
            </w:r>
            <w:r w:rsidR="006C5ED6">
              <w:rPr>
                <w:noProof/>
                <w:webHidden/>
              </w:rPr>
              <w:instrText xml:space="preserve"> PAGEREF _Toc195780410 \h </w:instrText>
            </w:r>
            <w:r w:rsidR="006C5ED6">
              <w:rPr>
                <w:noProof/>
                <w:webHidden/>
              </w:rPr>
            </w:r>
            <w:r w:rsidR="006C5ED6">
              <w:rPr>
                <w:noProof/>
                <w:webHidden/>
              </w:rPr>
              <w:fldChar w:fldCharType="separate"/>
            </w:r>
            <w:r w:rsidR="006C5ED6">
              <w:rPr>
                <w:noProof/>
                <w:webHidden/>
              </w:rPr>
              <w:t>8</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1" w:history="1">
            <w:r w:rsidR="006C5ED6" w:rsidRPr="00DF78B3">
              <w:rPr>
                <w:rStyle w:val="afb"/>
                <w:noProof/>
              </w:rPr>
              <w:t>Ключевые показатели эффективности и функциональные ключевые показатели эффективности</w:t>
            </w:r>
            <w:r w:rsidR="006C5ED6">
              <w:rPr>
                <w:noProof/>
                <w:webHidden/>
              </w:rPr>
              <w:tab/>
            </w:r>
            <w:r w:rsidR="006C5ED6">
              <w:rPr>
                <w:noProof/>
                <w:webHidden/>
              </w:rPr>
              <w:fldChar w:fldCharType="begin"/>
            </w:r>
            <w:r w:rsidR="006C5ED6">
              <w:rPr>
                <w:noProof/>
                <w:webHidden/>
              </w:rPr>
              <w:instrText xml:space="preserve"> PAGEREF _Toc195780411 \h </w:instrText>
            </w:r>
            <w:r w:rsidR="006C5ED6">
              <w:rPr>
                <w:noProof/>
                <w:webHidden/>
              </w:rPr>
            </w:r>
            <w:r w:rsidR="006C5ED6">
              <w:rPr>
                <w:noProof/>
                <w:webHidden/>
              </w:rPr>
              <w:fldChar w:fldCharType="separate"/>
            </w:r>
            <w:r w:rsidR="006C5ED6">
              <w:rPr>
                <w:noProof/>
                <w:webHidden/>
              </w:rPr>
              <w:t>9</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2" w:history="1">
            <w:r w:rsidR="006C5ED6" w:rsidRPr="00DF78B3">
              <w:rPr>
                <w:rStyle w:val="afb"/>
                <w:noProof/>
              </w:rPr>
              <w:t>Ключевые риски</w:t>
            </w:r>
            <w:r w:rsidR="006C5ED6">
              <w:rPr>
                <w:noProof/>
                <w:webHidden/>
              </w:rPr>
              <w:tab/>
            </w:r>
            <w:r w:rsidR="006C5ED6">
              <w:rPr>
                <w:noProof/>
                <w:webHidden/>
              </w:rPr>
              <w:fldChar w:fldCharType="begin"/>
            </w:r>
            <w:r w:rsidR="006C5ED6">
              <w:rPr>
                <w:noProof/>
                <w:webHidden/>
              </w:rPr>
              <w:instrText xml:space="preserve"> PAGEREF _Toc195780412 \h </w:instrText>
            </w:r>
            <w:r w:rsidR="006C5ED6">
              <w:rPr>
                <w:noProof/>
                <w:webHidden/>
              </w:rPr>
            </w:r>
            <w:r w:rsidR="006C5ED6">
              <w:rPr>
                <w:noProof/>
                <w:webHidden/>
              </w:rPr>
              <w:fldChar w:fldCharType="separate"/>
            </w:r>
            <w:r w:rsidR="006C5ED6">
              <w:rPr>
                <w:noProof/>
                <w:webHidden/>
              </w:rPr>
              <w:t>25</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3" w:history="1">
            <w:r w:rsidR="006C5ED6" w:rsidRPr="00DF78B3">
              <w:rPr>
                <w:rStyle w:val="afb"/>
                <w:noProof/>
              </w:rPr>
              <w:t>Результаты деятельности за 2024 год</w:t>
            </w:r>
            <w:r w:rsidR="006C5ED6">
              <w:rPr>
                <w:noProof/>
                <w:webHidden/>
              </w:rPr>
              <w:tab/>
            </w:r>
            <w:r w:rsidR="006C5ED6">
              <w:rPr>
                <w:noProof/>
                <w:webHidden/>
              </w:rPr>
              <w:fldChar w:fldCharType="begin"/>
            </w:r>
            <w:r w:rsidR="006C5ED6">
              <w:rPr>
                <w:noProof/>
                <w:webHidden/>
              </w:rPr>
              <w:instrText xml:space="preserve"> PAGEREF _Toc195780413 \h </w:instrText>
            </w:r>
            <w:r w:rsidR="006C5ED6">
              <w:rPr>
                <w:noProof/>
                <w:webHidden/>
              </w:rPr>
            </w:r>
            <w:r w:rsidR="006C5ED6">
              <w:rPr>
                <w:noProof/>
                <w:webHidden/>
              </w:rPr>
              <w:fldChar w:fldCharType="separate"/>
            </w:r>
            <w:r w:rsidR="006C5ED6">
              <w:rPr>
                <w:noProof/>
                <w:webHidden/>
              </w:rPr>
              <w:t>31</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4" w:history="1">
            <w:r w:rsidR="006C5ED6" w:rsidRPr="00DF78B3">
              <w:rPr>
                <w:rStyle w:val="afb"/>
                <w:noProof/>
              </w:rPr>
              <w:t>Операционные результаты за 2024 год</w:t>
            </w:r>
            <w:r w:rsidR="006C5ED6">
              <w:rPr>
                <w:noProof/>
                <w:webHidden/>
              </w:rPr>
              <w:tab/>
            </w:r>
            <w:r w:rsidR="006C5ED6">
              <w:rPr>
                <w:noProof/>
                <w:webHidden/>
              </w:rPr>
              <w:fldChar w:fldCharType="begin"/>
            </w:r>
            <w:r w:rsidR="006C5ED6">
              <w:rPr>
                <w:noProof/>
                <w:webHidden/>
              </w:rPr>
              <w:instrText xml:space="preserve"> PAGEREF _Toc195780414 \h </w:instrText>
            </w:r>
            <w:r w:rsidR="006C5ED6">
              <w:rPr>
                <w:noProof/>
                <w:webHidden/>
              </w:rPr>
            </w:r>
            <w:r w:rsidR="006C5ED6">
              <w:rPr>
                <w:noProof/>
                <w:webHidden/>
              </w:rPr>
              <w:fldChar w:fldCharType="separate"/>
            </w:r>
            <w:r w:rsidR="006C5ED6">
              <w:rPr>
                <w:noProof/>
                <w:webHidden/>
              </w:rPr>
              <w:t>31</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5" w:history="1">
            <w:r w:rsidR="006C5ED6" w:rsidRPr="00DF78B3">
              <w:rPr>
                <w:rStyle w:val="afb"/>
                <w:noProof/>
              </w:rPr>
              <w:t>Финансовые результаты</w:t>
            </w:r>
            <w:r w:rsidR="006C5ED6">
              <w:rPr>
                <w:noProof/>
                <w:webHidden/>
              </w:rPr>
              <w:tab/>
            </w:r>
            <w:r w:rsidR="006C5ED6">
              <w:rPr>
                <w:noProof/>
                <w:webHidden/>
              </w:rPr>
              <w:fldChar w:fldCharType="begin"/>
            </w:r>
            <w:r w:rsidR="006C5ED6">
              <w:rPr>
                <w:noProof/>
                <w:webHidden/>
              </w:rPr>
              <w:instrText xml:space="preserve"> PAGEREF _Toc195780415 \h </w:instrText>
            </w:r>
            <w:r w:rsidR="006C5ED6">
              <w:rPr>
                <w:noProof/>
                <w:webHidden/>
              </w:rPr>
            </w:r>
            <w:r w:rsidR="006C5ED6">
              <w:rPr>
                <w:noProof/>
                <w:webHidden/>
              </w:rPr>
              <w:fldChar w:fldCharType="separate"/>
            </w:r>
            <w:r w:rsidR="006C5ED6">
              <w:rPr>
                <w:noProof/>
                <w:webHidden/>
              </w:rPr>
              <w:t>32</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6" w:history="1">
            <w:r w:rsidR="006C5ED6" w:rsidRPr="00DF78B3">
              <w:rPr>
                <w:rStyle w:val="afb"/>
                <w:noProof/>
              </w:rPr>
              <w:t>Тарифная политика</w:t>
            </w:r>
            <w:r w:rsidR="006C5ED6">
              <w:rPr>
                <w:noProof/>
                <w:webHidden/>
              </w:rPr>
              <w:tab/>
            </w:r>
            <w:r w:rsidR="006C5ED6">
              <w:rPr>
                <w:noProof/>
                <w:webHidden/>
              </w:rPr>
              <w:fldChar w:fldCharType="begin"/>
            </w:r>
            <w:r w:rsidR="006C5ED6">
              <w:rPr>
                <w:noProof/>
                <w:webHidden/>
              </w:rPr>
              <w:instrText xml:space="preserve"> PAGEREF _Toc195780416 \h </w:instrText>
            </w:r>
            <w:r w:rsidR="006C5ED6">
              <w:rPr>
                <w:noProof/>
                <w:webHidden/>
              </w:rPr>
            </w:r>
            <w:r w:rsidR="006C5ED6">
              <w:rPr>
                <w:noProof/>
                <w:webHidden/>
              </w:rPr>
              <w:fldChar w:fldCharType="separate"/>
            </w:r>
            <w:r w:rsidR="006C5ED6">
              <w:rPr>
                <w:noProof/>
                <w:webHidden/>
              </w:rPr>
              <w:t>34</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7" w:history="1">
            <w:r w:rsidR="006C5ED6" w:rsidRPr="00DF78B3">
              <w:rPr>
                <w:rStyle w:val="afb"/>
                <w:noProof/>
              </w:rPr>
              <w:t>Технологическое присоединение</w:t>
            </w:r>
            <w:r w:rsidR="006C5ED6">
              <w:rPr>
                <w:noProof/>
                <w:webHidden/>
              </w:rPr>
              <w:tab/>
            </w:r>
            <w:r w:rsidR="006C5ED6">
              <w:rPr>
                <w:noProof/>
                <w:webHidden/>
              </w:rPr>
              <w:fldChar w:fldCharType="begin"/>
            </w:r>
            <w:r w:rsidR="006C5ED6">
              <w:rPr>
                <w:noProof/>
                <w:webHidden/>
              </w:rPr>
              <w:instrText xml:space="preserve"> PAGEREF _Toc195780417 \h </w:instrText>
            </w:r>
            <w:r w:rsidR="006C5ED6">
              <w:rPr>
                <w:noProof/>
                <w:webHidden/>
              </w:rPr>
            </w:r>
            <w:r w:rsidR="006C5ED6">
              <w:rPr>
                <w:noProof/>
                <w:webHidden/>
              </w:rPr>
              <w:fldChar w:fldCharType="separate"/>
            </w:r>
            <w:r w:rsidR="006C5ED6">
              <w:rPr>
                <w:noProof/>
                <w:webHidden/>
              </w:rPr>
              <w:t>38</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8" w:history="1">
            <w:r w:rsidR="006C5ED6" w:rsidRPr="00DF78B3">
              <w:rPr>
                <w:rStyle w:val="afb"/>
                <w:noProof/>
              </w:rPr>
              <w:t>Взаимодействие с потребителями</w:t>
            </w:r>
            <w:r w:rsidR="006C5ED6">
              <w:rPr>
                <w:noProof/>
                <w:webHidden/>
              </w:rPr>
              <w:tab/>
            </w:r>
            <w:r w:rsidR="006C5ED6">
              <w:rPr>
                <w:noProof/>
                <w:webHidden/>
              </w:rPr>
              <w:fldChar w:fldCharType="begin"/>
            </w:r>
            <w:r w:rsidR="006C5ED6">
              <w:rPr>
                <w:noProof/>
                <w:webHidden/>
              </w:rPr>
              <w:instrText xml:space="preserve"> PAGEREF _Toc195780418 \h </w:instrText>
            </w:r>
            <w:r w:rsidR="006C5ED6">
              <w:rPr>
                <w:noProof/>
                <w:webHidden/>
              </w:rPr>
            </w:r>
            <w:r w:rsidR="006C5ED6">
              <w:rPr>
                <w:noProof/>
                <w:webHidden/>
              </w:rPr>
              <w:fldChar w:fldCharType="separate"/>
            </w:r>
            <w:r w:rsidR="006C5ED6">
              <w:rPr>
                <w:noProof/>
                <w:webHidden/>
              </w:rPr>
              <w:t>41</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19" w:history="1">
            <w:r w:rsidR="006C5ED6" w:rsidRPr="00DF78B3">
              <w:rPr>
                <w:rStyle w:val="afb"/>
                <w:noProof/>
              </w:rPr>
              <w:t>Реализация дополнительных (нетарифных) услуг</w:t>
            </w:r>
            <w:r w:rsidR="006C5ED6">
              <w:rPr>
                <w:noProof/>
                <w:webHidden/>
              </w:rPr>
              <w:tab/>
            </w:r>
            <w:r w:rsidR="006C5ED6">
              <w:rPr>
                <w:noProof/>
                <w:webHidden/>
              </w:rPr>
              <w:fldChar w:fldCharType="begin"/>
            </w:r>
            <w:r w:rsidR="006C5ED6">
              <w:rPr>
                <w:noProof/>
                <w:webHidden/>
              </w:rPr>
              <w:instrText xml:space="preserve"> PAGEREF _Toc195780419 \h </w:instrText>
            </w:r>
            <w:r w:rsidR="006C5ED6">
              <w:rPr>
                <w:noProof/>
                <w:webHidden/>
              </w:rPr>
            </w:r>
            <w:r w:rsidR="006C5ED6">
              <w:rPr>
                <w:noProof/>
                <w:webHidden/>
              </w:rPr>
              <w:fldChar w:fldCharType="separate"/>
            </w:r>
            <w:r w:rsidR="006C5ED6">
              <w:rPr>
                <w:noProof/>
                <w:webHidden/>
              </w:rPr>
              <w:t>43</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0" w:history="1">
            <w:r w:rsidR="006C5ED6" w:rsidRPr="00DF78B3">
              <w:rPr>
                <w:rStyle w:val="afb"/>
                <w:noProof/>
              </w:rPr>
              <w:t>Инвестиционная деятельность</w:t>
            </w:r>
            <w:r w:rsidR="006C5ED6">
              <w:rPr>
                <w:noProof/>
                <w:webHidden/>
              </w:rPr>
              <w:tab/>
            </w:r>
            <w:r w:rsidR="006C5ED6">
              <w:rPr>
                <w:noProof/>
                <w:webHidden/>
              </w:rPr>
              <w:fldChar w:fldCharType="begin"/>
            </w:r>
            <w:r w:rsidR="006C5ED6">
              <w:rPr>
                <w:noProof/>
                <w:webHidden/>
              </w:rPr>
              <w:instrText xml:space="preserve"> PAGEREF _Toc195780420 \h </w:instrText>
            </w:r>
            <w:r w:rsidR="006C5ED6">
              <w:rPr>
                <w:noProof/>
                <w:webHidden/>
              </w:rPr>
            </w:r>
            <w:r w:rsidR="006C5ED6">
              <w:rPr>
                <w:noProof/>
                <w:webHidden/>
              </w:rPr>
              <w:fldChar w:fldCharType="separate"/>
            </w:r>
            <w:r w:rsidR="006C5ED6">
              <w:rPr>
                <w:noProof/>
                <w:webHidden/>
              </w:rPr>
              <w:t>44</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1" w:history="1">
            <w:r w:rsidR="006C5ED6" w:rsidRPr="00DF78B3">
              <w:rPr>
                <w:rStyle w:val="afb"/>
                <w:noProof/>
              </w:rPr>
              <w:t>Управление активами</w:t>
            </w:r>
            <w:r w:rsidR="006C5ED6">
              <w:rPr>
                <w:noProof/>
                <w:webHidden/>
              </w:rPr>
              <w:tab/>
            </w:r>
            <w:r w:rsidR="006C5ED6">
              <w:rPr>
                <w:noProof/>
                <w:webHidden/>
              </w:rPr>
              <w:fldChar w:fldCharType="begin"/>
            </w:r>
            <w:r w:rsidR="006C5ED6">
              <w:rPr>
                <w:noProof/>
                <w:webHidden/>
              </w:rPr>
              <w:instrText xml:space="preserve"> PAGEREF _Toc195780421 \h </w:instrText>
            </w:r>
            <w:r w:rsidR="006C5ED6">
              <w:rPr>
                <w:noProof/>
                <w:webHidden/>
              </w:rPr>
            </w:r>
            <w:r w:rsidR="006C5ED6">
              <w:rPr>
                <w:noProof/>
                <w:webHidden/>
              </w:rPr>
              <w:fldChar w:fldCharType="separate"/>
            </w:r>
            <w:r w:rsidR="006C5ED6">
              <w:rPr>
                <w:noProof/>
                <w:webHidden/>
              </w:rPr>
              <w:t>49</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2" w:history="1">
            <w:r w:rsidR="006C5ED6" w:rsidRPr="00DF78B3">
              <w:rPr>
                <w:rStyle w:val="afb"/>
                <w:noProof/>
              </w:rPr>
              <w:t>Информация о реализации непрофильных активов в 2024 году</w:t>
            </w:r>
            <w:r w:rsidR="006C5ED6">
              <w:rPr>
                <w:noProof/>
                <w:webHidden/>
              </w:rPr>
              <w:tab/>
            </w:r>
            <w:r w:rsidR="006C5ED6">
              <w:rPr>
                <w:noProof/>
                <w:webHidden/>
              </w:rPr>
              <w:fldChar w:fldCharType="begin"/>
            </w:r>
            <w:r w:rsidR="006C5ED6">
              <w:rPr>
                <w:noProof/>
                <w:webHidden/>
              </w:rPr>
              <w:instrText xml:space="preserve"> PAGEREF _Toc195780422 \h </w:instrText>
            </w:r>
            <w:r w:rsidR="006C5ED6">
              <w:rPr>
                <w:noProof/>
                <w:webHidden/>
              </w:rPr>
            </w:r>
            <w:r w:rsidR="006C5ED6">
              <w:rPr>
                <w:noProof/>
                <w:webHidden/>
              </w:rPr>
              <w:fldChar w:fldCharType="separate"/>
            </w:r>
            <w:r w:rsidR="006C5ED6">
              <w:rPr>
                <w:noProof/>
                <w:webHidden/>
              </w:rPr>
              <w:t>50</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3" w:history="1">
            <w:r w:rsidR="006C5ED6" w:rsidRPr="00DF78B3">
              <w:rPr>
                <w:rStyle w:val="afb"/>
                <w:noProof/>
              </w:rPr>
              <w:t>Консолидация электросетевых активов</w:t>
            </w:r>
            <w:r w:rsidR="006C5ED6">
              <w:rPr>
                <w:noProof/>
                <w:webHidden/>
              </w:rPr>
              <w:tab/>
            </w:r>
            <w:r w:rsidR="006C5ED6">
              <w:rPr>
                <w:noProof/>
                <w:webHidden/>
              </w:rPr>
              <w:fldChar w:fldCharType="begin"/>
            </w:r>
            <w:r w:rsidR="006C5ED6">
              <w:rPr>
                <w:noProof/>
                <w:webHidden/>
              </w:rPr>
              <w:instrText xml:space="preserve"> PAGEREF _Toc195780423 \h </w:instrText>
            </w:r>
            <w:r w:rsidR="006C5ED6">
              <w:rPr>
                <w:noProof/>
                <w:webHidden/>
              </w:rPr>
            </w:r>
            <w:r w:rsidR="006C5ED6">
              <w:rPr>
                <w:noProof/>
                <w:webHidden/>
              </w:rPr>
              <w:fldChar w:fldCharType="separate"/>
            </w:r>
            <w:r w:rsidR="006C5ED6">
              <w:rPr>
                <w:noProof/>
                <w:webHidden/>
              </w:rPr>
              <w:t>50</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4" w:history="1">
            <w:r w:rsidR="006C5ED6" w:rsidRPr="00DF78B3">
              <w:rPr>
                <w:rStyle w:val="afb"/>
                <w:noProof/>
              </w:rPr>
              <w:t>Инновационная деятельность</w:t>
            </w:r>
            <w:r w:rsidR="006C5ED6">
              <w:rPr>
                <w:noProof/>
                <w:webHidden/>
              </w:rPr>
              <w:tab/>
            </w:r>
            <w:r w:rsidR="006C5ED6">
              <w:rPr>
                <w:noProof/>
                <w:webHidden/>
              </w:rPr>
              <w:fldChar w:fldCharType="begin"/>
            </w:r>
            <w:r w:rsidR="006C5ED6">
              <w:rPr>
                <w:noProof/>
                <w:webHidden/>
              </w:rPr>
              <w:instrText xml:space="preserve"> PAGEREF _Toc195780424 \h </w:instrText>
            </w:r>
            <w:r w:rsidR="006C5ED6">
              <w:rPr>
                <w:noProof/>
                <w:webHidden/>
              </w:rPr>
            </w:r>
            <w:r w:rsidR="006C5ED6">
              <w:rPr>
                <w:noProof/>
                <w:webHidden/>
              </w:rPr>
              <w:fldChar w:fldCharType="separate"/>
            </w:r>
            <w:r w:rsidR="006C5ED6">
              <w:rPr>
                <w:noProof/>
                <w:webHidden/>
              </w:rPr>
              <w:t>51</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5" w:history="1">
            <w:r w:rsidR="006C5ED6" w:rsidRPr="00DF78B3">
              <w:rPr>
                <w:rStyle w:val="afb"/>
                <w:noProof/>
              </w:rPr>
              <w:t>Управление персоналом</w:t>
            </w:r>
            <w:r w:rsidR="006C5ED6">
              <w:rPr>
                <w:noProof/>
                <w:webHidden/>
              </w:rPr>
              <w:tab/>
            </w:r>
            <w:r w:rsidR="006C5ED6">
              <w:rPr>
                <w:noProof/>
                <w:webHidden/>
              </w:rPr>
              <w:fldChar w:fldCharType="begin"/>
            </w:r>
            <w:r w:rsidR="006C5ED6">
              <w:rPr>
                <w:noProof/>
                <w:webHidden/>
              </w:rPr>
              <w:instrText xml:space="preserve"> PAGEREF _Toc195780425 \h </w:instrText>
            </w:r>
            <w:r w:rsidR="006C5ED6">
              <w:rPr>
                <w:noProof/>
                <w:webHidden/>
              </w:rPr>
            </w:r>
            <w:r w:rsidR="006C5ED6">
              <w:rPr>
                <w:noProof/>
                <w:webHidden/>
              </w:rPr>
              <w:fldChar w:fldCharType="separate"/>
            </w:r>
            <w:r w:rsidR="006C5ED6">
              <w:rPr>
                <w:noProof/>
                <w:webHidden/>
              </w:rPr>
              <w:t>54</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6" w:history="1">
            <w:r w:rsidR="006C5ED6" w:rsidRPr="00DF78B3">
              <w:rPr>
                <w:rStyle w:val="afb"/>
                <w:noProof/>
              </w:rPr>
              <w:t>Управление охраной труда и промышленной безопасностью</w:t>
            </w:r>
            <w:r w:rsidR="006C5ED6">
              <w:rPr>
                <w:noProof/>
                <w:webHidden/>
              </w:rPr>
              <w:tab/>
            </w:r>
            <w:r w:rsidR="006C5ED6">
              <w:rPr>
                <w:noProof/>
                <w:webHidden/>
              </w:rPr>
              <w:fldChar w:fldCharType="begin"/>
            </w:r>
            <w:r w:rsidR="006C5ED6">
              <w:rPr>
                <w:noProof/>
                <w:webHidden/>
              </w:rPr>
              <w:instrText xml:space="preserve"> PAGEREF _Toc195780426 \h </w:instrText>
            </w:r>
            <w:r w:rsidR="006C5ED6">
              <w:rPr>
                <w:noProof/>
                <w:webHidden/>
              </w:rPr>
            </w:r>
            <w:r w:rsidR="006C5ED6">
              <w:rPr>
                <w:noProof/>
                <w:webHidden/>
              </w:rPr>
              <w:fldChar w:fldCharType="separate"/>
            </w:r>
            <w:r w:rsidR="006C5ED6">
              <w:rPr>
                <w:noProof/>
                <w:webHidden/>
              </w:rPr>
              <w:t>59</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7" w:history="1">
            <w:r w:rsidR="006C5ED6" w:rsidRPr="00DF78B3">
              <w:rPr>
                <w:rStyle w:val="afb"/>
                <w:noProof/>
              </w:rPr>
              <w:t>Закупочная деятельность</w:t>
            </w:r>
            <w:r w:rsidR="006C5ED6">
              <w:rPr>
                <w:noProof/>
                <w:webHidden/>
              </w:rPr>
              <w:tab/>
            </w:r>
            <w:r w:rsidR="006C5ED6">
              <w:rPr>
                <w:noProof/>
                <w:webHidden/>
              </w:rPr>
              <w:fldChar w:fldCharType="begin"/>
            </w:r>
            <w:r w:rsidR="006C5ED6">
              <w:rPr>
                <w:noProof/>
                <w:webHidden/>
              </w:rPr>
              <w:instrText xml:space="preserve"> PAGEREF _Toc195780427 \h </w:instrText>
            </w:r>
            <w:r w:rsidR="006C5ED6">
              <w:rPr>
                <w:noProof/>
                <w:webHidden/>
              </w:rPr>
            </w:r>
            <w:r w:rsidR="006C5ED6">
              <w:rPr>
                <w:noProof/>
                <w:webHidden/>
              </w:rPr>
              <w:fldChar w:fldCharType="separate"/>
            </w:r>
            <w:r w:rsidR="006C5ED6">
              <w:rPr>
                <w:noProof/>
                <w:webHidden/>
              </w:rPr>
              <w:t>61</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8" w:history="1">
            <w:r w:rsidR="006C5ED6" w:rsidRPr="00DF78B3">
              <w:rPr>
                <w:rStyle w:val="afb"/>
                <w:noProof/>
              </w:rPr>
              <w:t>Антикоррупционная политика</w:t>
            </w:r>
            <w:r w:rsidR="006C5ED6">
              <w:rPr>
                <w:noProof/>
                <w:webHidden/>
              </w:rPr>
              <w:tab/>
            </w:r>
            <w:r w:rsidR="006C5ED6">
              <w:rPr>
                <w:noProof/>
                <w:webHidden/>
              </w:rPr>
              <w:fldChar w:fldCharType="begin"/>
            </w:r>
            <w:r w:rsidR="006C5ED6">
              <w:rPr>
                <w:noProof/>
                <w:webHidden/>
              </w:rPr>
              <w:instrText xml:space="preserve"> PAGEREF _Toc195780428 \h </w:instrText>
            </w:r>
            <w:r w:rsidR="006C5ED6">
              <w:rPr>
                <w:noProof/>
                <w:webHidden/>
              </w:rPr>
            </w:r>
            <w:r w:rsidR="006C5ED6">
              <w:rPr>
                <w:noProof/>
                <w:webHidden/>
              </w:rPr>
              <w:fldChar w:fldCharType="separate"/>
            </w:r>
            <w:r w:rsidR="006C5ED6">
              <w:rPr>
                <w:noProof/>
                <w:webHidden/>
              </w:rPr>
              <w:t>63</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29" w:history="1">
            <w:r w:rsidR="006C5ED6" w:rsidRPr="00DF78B3">
              <w:rPr>
                <w:rStyle w:val="afb"/>
                <w:noProof/>
              </w:rPr>
              <w:t>Энергопотребление и энергосбережение</w:t>
            </w:r>
            <w:r w:rsidR="006C5ED6">
              <w:rPr>
                <w:noProof/>
                <w:webHidden/>
              </w:rPr>
              <w:tab/>
            </w:r>
            <w:r w:rsidR="006C5ED6">
              <w:rPr>
                <w:noProof/>
                <w:webHidden/>
              </w:rPr>
              <w:fldChar w:fldCharType="begin"/>
            </w:r>
            <w:r w:rsidR="006C5ED6">
              <w:rPr>
                <w:noProof/>
                <w:webHidden/>
              </w:rPr>
              <w:instrText xml:space="preserve"> PAGEREF _Toc195780429 \h </w:instrText>
            </w:r>
            <w:r w:rsidR="006C5ED6">
              <w:rPr>
                <w:noProof/>
                <w:webHidden/>
              </w:rPr>
            </w:r>
            <w:r w:rsidR="006C5ED6">
              <w:rPr>
                <w:noProof/>
                <w:webHidden/>
              </w:rPr>
              <w:fldChar w:fldCharType="separate"/>
            </w:r>
            <w:r w:rsidR="006C5ED6">
              <w:rPr>
                <w:noProof/>
                <w:webHidden/>
              </w:rPr>
              <w:t>65</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0" w:history="1">
            <w:r w:rsidR="006C5ED6" w:rsidRPr="00DF78B3">
              <w:rPr>
                <w:rStyle w:val="afb"/>
                <w:noProof/>
              </w:rPr>
              <w:t>Отчет о корпоративном управлении</w:t>
            </w:r>
            <w:r w:rsidR="006C5ED6">
              <w:rPr>
                <w:noProof/>
                <w:webHidden/>
              </w:rPr>
              <w:tab/>
            </w:r>
            <w:r w:rsidR="006C5ED6">
              <w:rPr>
                <w:noProof/>
                <w:webHidden/>
              </w:rPr>
              <w:fldChar w:fldCharType="begin"/>
            </w:r>
            <w:r w:rsidR="006C5ED6">
              <w:rPr>
                <w:noProof/>
                <w:webHidden/>
              </w:rPr>
              <w:instrText xml:space="preserve"> PAGEREF _Toc195780430 \h </w:instrText>
            </w:r>
            <w:r w:rsidR="006C5ED6">
              <w:rPr>
                <w:noProof/>
                <w:webHidden/>
              </w:rPr>
            </w:r>
            <w:r w:rsidR="006C5ED6">
              <w:rPr>
                <w:noProof/>
                <w:webHidden/>
              </w:rPr>
              <w:fldChar w:fldCharType="separate"/>
            </w:r>
            <w:r w:rsidR="006C5ED6">
              <w:rPr>
                <w:noProof/>
                <w:webHidden/>
              </w:rPr>
              <w:t>66</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1" w:history="1">
            <w:r w:rsidR="006C5ED6" w:rsidRPr="00DF78B3">
              <w:rPr>
                <w:rStyle w:val="afb"/>
                <w:noProof/>
              </w:rPr>
              <w:t>Общая информация о корпоративном управлении в Компании</w:t>
            </w:r>
            <w:r w:rsidR="006C5ED6">
              <w:rPr>
                <w:noProof/>
                <w:webHidden/>
              </w:rPr>
              <w:tab/>
            </w:r>
            <w:r w:rsidR="006C5ED6">
              <w:rPr>
                <w:noProof/>
                <w:webHidden/>
              </w:rPr>
              <w:fldChar w:fldCharType="begin"/>
            </w:r>
            <w:r w:rsidR="006C5ED6">
              <w:rPr>
                <w:noProof/>
                <w:webHidden/>
              </w:rPr>
              <w:instrText xml:space="preserve"> PAGEREF _Toc195780431 \h </w:instrText>
            </w:r>
            <w:r w:rsidR="006C5ED6">
              <w:rPr>
                <w:noProof/>
                <w:webHidden/>
              </w:rPr>
            </w:r>
            <w:r w:rsidR="006C5ED6">
              <w:rPr>
                <w:noProof/>
                <w:webHidden/>
              </w:rPr>
              <w:fldChar w:fldCharType="separate"/>
            </w:r>
            <w:r w:rsidR="006C5ED6">
              <w:rPr>
                <w:noProof/>
                <w:webHidden/>
              </w:rPr>
              <w:t>66</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2" w:history="1">
            <w:r w:rsidR="006C5ED6" w:rsidRPr="00DF78B3">
              <w:rPr>
                <w:rStyle w:val="afb"/>
                <w:noProof/>
              </w:rPr>
              <w:t>Общее собрание акционеров</w:t>
            </w:r>
            <w:r w:rsidR="006C5ED6">
              <w:rPr>
                <w:noProof/>
                <w:webHidden/>
              </w:rPr>
              <w:tab/>
            </w:r>
            <w:r w:rsidR="006C5ED6">
              <w:rPr>
                <w:noProof/>
                <w:webHidden/>
              </w:rPr>
              <w:fldChar w:fldCharType="begin"/>
            </w:r>
            <w:r w:rsidR="006C5ED6">
              <w:rPr>
                <w:noProof/>
                <w:webHidden/>
              </w:rPr>
              <w:instrText xml:space="preserve"> PAGEREF _Toc195780432 \h </w:instrText>
            </w:r>
            <w:r w:rsidR="006C5ED6">
              <w:rPr>
                <w:noProof/>
                <w:webHidden/>
              </w:rPr>
            </w:r>
            <w:r w:rsidR="006C5ED6">
              <w:rPr>
                <w:noProof/>
                <w:webHidden/>
              </w:rPr>
              <w:fldChar w:fldCharType="separate"/>
            </w:r>
            <w:r w:rsidR="006C5ED6">
              <w:rPr>
                <w:noProof/>
                <w:webHidden/>
              </w:rPr>
              <w:t>67</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3" w:history="1">
            <w:r w:rsidR="006C5ED6" w:rsidRPr="00DF78B3">
              <w:rPr>
                <w:rStyle w:val="afb"/>
                <w:noProof/>
              </w:rPr>
              <w:t>Правление</w:t>
            </w:r>
            <w:r w:rsidR="006C5ED6">
              <w:rPr>
                <w:noProof/>
                <w:webHidden/>
              </w:rPr>
              <w:tab/>
            </w:r>
            <w:r w:rsidR="006C5ED6">
              <w:rPr>
                <w:noProof/>
                <w:webHidden/>
              </w:rPr>
              <w:fldChar w:fldCharType="begin"/>
            </w:r>
            <w:r w:rsidR="006C5ED6">
              <w:rPr>
                <w:noProof/>
                <w:webHidden/>
              </w:rPr>
              <w:instrText xml:space="preserve"> PAGEREF _Toc195780433 \h </w:instrText>
            </w:r>
            <w:r w:rsidR="006C5ED6">
              <w:rPr>
                <w:noProof/>
                <w:webHidden/>
              </w:rPr>
            </w:r>
            <w:r w:rsidR="006C5ED6">
              <w:rPr>
                <w:noProof/>
                <w:webHidden/>
              </w:rPr>
              <w:fldChar w:fldCharType="separate"/>
            </w:r>
            <w:r w:rsidR="006C5ED6">
              <w:rPr>
                <w:noProof/>
                <w:webHidden/>
              </w:rPr>
              <w:t>76</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4" w:history="1">
            <w:r w:rsidR="006C5ED6" w:rsidRPr="00DF78B3">
              <w:rPr>
                <w:rStyle w:val="afb"/>
                <w:noProof/>
              </w:rPr>
              <w:t>Корпоративный секретарь Общества</w:t>
            </w:r>
            <w:r w:rsidR="006C5ED6">
              <w:rPr>
                <w:noProof/>
                <w:webHidden/>
              </w:rPr>
              <w:tab/>
            </w:r>
            <w:r w:rsidR="006C5ED6">
              <w:rPr>
                <w:noProof/>
                <w:webHidden/>
              </w:rPr>
              <w:fldChar w:fldCharType="begin"/>
            </w:r>
            <w:r w:rsidR="006C5ED6">
              <w:rPr>
                <w:noProof/>
                <w:webHidden/>
              </w:rPr>
              <w:instrText xml:space="preserve"> PAGEREF _Toc195780434 \h </w:instrText>
            </w:r>
            <w:r w:rsidR="006C5ED6">
              <w:rPr>
                <w:noProof/>
                <w:webHidden/>
              </w:rPr>
            </w:r>
            <w:r w:rsidR="006C5ED6">
              <w:rPr>
                <w:noProof/>
                <w:webHidden/>
              </w:rPr>
              <w:fldChar w:fldCharType="separate"/>
            </w:r>
            <w:r w:rsidR="006C5ED6">
              <w:rPr>
                <w:noProof/>
                <w:webHidden/>
              </w:rPr>
              <w:t>76</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5" w:history="1">
            <w:r w:rsidR="006C5ED6" w:rsidRPr="00DF78B3">
              <w:rPr>
                <w:rStyle w:val="afb"/>
                <w:noProof/>
              </w:rPr>
              <w:t>Генеральный директор Общества</w:t>
            </w:r>
            <w:r w:rsidR="006C5ED6">
              <w:rPr>
                <w:noProof/>
                <w:webHidden/>
              </w:rPr>
              <w:tab/>
            </w:r>
            <w:r w:rsidR="006C5ED6">
              <w:rPr>
                <w:noProof/>
                <w:webHidden/>
              </w:rPr>
              <w:fldChar w:fldCharType="begin"/>
            </w:r>
            <w:r w:rsidR="006C5ED6">
              <w:rPr>
                <w:noProof/>
                <w:webHidden/>
              </w:rPr>
              <w:instrText xml:space="preserve"> PAGEREF _Toc195780435 \h </w:instrText>
            </w:r>
            <w:r w:rsidR="006C5ED6">
              <w:rPr>
                <w:noProof/>
                <w:webHidden/>
              </w:rPr>
            </w:r>
            <w:r w:rsidR="006C5ED6">
              <w:rPr>
                <w:noProof/>
                <w:webHidden/>
              </w:rPr>
              <w:fldChar w:fldCharType="separate"/>
            </w:r>
            <w:r w:rsidR="006C5ED6">
              <w:rPr>
                <w:noProof/>
                <w:webHidden/>
              </w:rPr>
              <w:t>77</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6" w:history="1">
            <w:r w:rsidR="006C5ED6" w:rsidRPr="00DF78B3">
              <w:rPr>
                <w:rStyle w:val="afb"/>
                <w:noProof/>
              </w:rPr>
              <w:t>Система вознаграждения органов управления Компании</w:t>
            </w:r>
            <w:r w:rsidR="006C5ED6">
              <w:rPr>
                <w:noProof/>
                <w:webHidden/>
              </w:rPr>
              <w:tab/>
            </w:r>
            <w:r w:rsidR="006C5ED6">
              <w:rPr>
                <w:noProof/>
                <w:webHidden/>
              </w:rPr>
              <w:fldChar w:fldCharType="begin"/>
            </w:r>
            <w:r w:rsidR="006C5ED6">
              <w:rPr>
                <w:noProof/>
                <w:webHidden/>
              </w:rPr>
              <w:instrText xml:space="preserve"> PAGEREF _Toc195780436 \h </w:instrText>
            </w:r>
            <w:r w:rsidR="006C5ED6">
              <w:rPr>
                <w:noProof/>
                <w:webHidden/>
              </w:rPr>
            </w:r>
            <w:r w:rsidR="006C5ED6">
              <w:rPr>
                <w:noProof/>
                <w:webHidden/>
              </w:rPr>
              <w:fldChar w:fldCharType="separate"/>
            </w:r>
            <w:r w:rsidR="006C5ED6">
              <w:rPr>
                <w:noProof/>
                <w:webHidden/>
              </w:rPr>
              <w:t>78</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7" w:history="1">
            <w:r w:rsidR="006C5ED6" w:rsidRPr="00DF78B3">
              <w:rPr>
                <w:rStyle w:val="afb"/>
                <w:noProof/>
              </w:rPr>
              <w:t>Вознаграждение членов Совета директоров</w:t>
            </w:r>
            <w:r w:rsidR="006C5ED6">
              <w:rPr>
                <w:noProof/>
                <w:webHidden/>
              </w:rPr>
              <w:tab/>
            </w:r>
            <w:r w:rsidR="006C5ED6">
              <w:rPr>
                <w:noProof/>
                <w:webHidden/>
              </w:rPr>
              <w:fldChar w:fldCharType="begin"/>
            </w:r>
            <w:r w:rsidR="006C5ED6">
              <w:rPr>
                <w:noProof/>
                <w:webHidden/>
              </w:rPr>
              <w:instrText xml:space="preserve"> PAGEREF _Toc195780437 \h </w:instrText>
            </w:r>
            <w:r w:rsidR="006C5ED6">
              <w:rPr>
                <w:noProof/>
                <w:webHidden/>
              </w:rPr>
            </w:r>
            <w:r w:rsidR="006C5ED6">
              <w:rPr>
                <w:noProof/>
                <w:webHidden/>
              </w:rPr>
              <w:fldChar w:fldCharType="separate"/>
            </w:r>
            <w:r w:rsidR="006C5ED6">
              <w:rPr>
                <w:noProof/>
                <w:webHidden/>
              </w:rPr>
              <w:t>78</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8" w:history="1">
            <w:r w:rsidR="006C5ED6" w:rsidRPr="00DF78B3">
              <w:rPr>
                <w:rStyle w:val="afb"/>
                <w:noProof/>
              </w:rPr>
              <w:t>Система вознаграждения Генерального директора Общества</w:t>
            </w:r>
            <w:r w:rsidR="006C5ED6">
              <w:rPr>
                <w:noProof/>
                <w:webHidden/>
              </w:rPr>
              <w:tab/>
            </w:r>
            <w:r w:rsidR="006C5ED6">
              <w:rPr>
                <w:noProof/>
                <w:webHidden/>
              </w:rPr>
              <w:fldChar w:fldCharType="begin"/>
            </w:r>
            <w:r w:rsidR="006C5ED6">
              <w:rPr>
                <w:noProof/>
                <w:webHidden/>
              </w:rPr>
              <w:instrText xml:space="preserve"> PAGEREF _Toc195780438 \h </w:instrText>
            </w:r>
            <w:r w:rsidR="006C5ED6">
              <w:rPr>
                <w:noProof/>
                <w:webHidden/>
              </w:rPr>
            </w:r>
            <w:r w:rsidR="006C5ED6">
              <w:rPr>
                <w:noProof/>
                <w:webHidden/>
              </w:rPr>
              <w:fldChar w:fldCharType="separate"/>
            </w:r>
            <w:r w:rsidR="006C5ED6">
              <w:rPr>
                <w:noProof/>
                <w:webHidden/>
              </w:rPr>
              <w:t>79</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39" w:history="1">
            <w:r w:rsidR="006C5ED6" w:rsidRPr="00DF78B3">
              <w:rPr>
                <w:rStyle w:val="afb"/>
                <w:noProof/>
              </w:rPr>
              <w:t>Управление рисками и внутренний контроль</w:t>
            </w:r>
            <w:r w:rsidR="006C5ED6">
              <w:rPr>
                <w:noProof/>
                <w:webHidden/>
              </w:rPr>
              <w:tab/>
            </w:r>
            <w:r w:rsidR="006C5ED6">
              <w:rPr>
                <w:noProof/>
                <w:webHidden/>
              </w:rPr>
              <w:fldChar w:fldCharType="begin"/>
            </w:r>
            <w:r w:rsidR="006C5ED6">
              <w:rPr>
                <w:noProof/>
                <w:webHidden/>
              </w:rPr>
              <w:instrText xml:space="preserve"> PAGEREF _Toc195780439 \h </w:instrText>
            </w:r>
            <w:r w:rsidR="006C5ED6">
              <w:rPr>
                <w:noProof/>
                <w:webHidden/>
              </w:rPr>
            </w:r>
            <w:r w:rsidR="006C5ED6">
              <w:rPr>
                <w:noProof/>
                <w:webHidden/>
              </w:rPr>
              <w:fldChar w:fldCharType="separate"/>
            </w:r>
            <w:r w:rsidR="006C5ED6">
              <w:rPr>
                <w:noProof/>
                <w:webHidden/>
              </w:rPr>
              <w:t>79</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40" w:history="1">
            <w:r w:rsidR="006C5ED6" w:rsidRPr="00DF78B3">
              <w:rPr>
                <w:rStyle w:val="afb"/>
                <w:noProof/>
              </w:rPr>
              <w:t>Ревизионная комиссия</w:t>
            </w:r>
            <w:r w:rsidR="006C5ED6">
              <w:rPr>
                <w:noProof/>
                <w:webHidden/>
              </w:rPr>
              <w:tab/>
            </w:r>
            <w:r w:rsidR="006C5ED6">
              <w:rPr>
                <w:noProof/>
                <w:webHidden/>
              </w:rPr>
              <w:fldChar w:fldCharType="begin"/>
            </w:r>
            <w:r w:rsidR="006C5ED6">
              <w:rPr>
                <w:noProof/>
                <w:webHidden/>
              </w:rPr>
              <w:instrText xml:space="preserve"> PAGEREF _Toc195780440 \h </w:instrText>
            </w:r>
            <w:r w:rsidR="006C5ED6">
              <w:rPr>
                <w:noProof/>
                <w:webHidden/>
              </w:rPr>
            </w:r>
            <w:r w:rsidR="006C5ED6">
              <w:rPr>
                <w:noProof/>
                <w:webHidden/>
              </w:rPr>
              <w:fldChar w:fldCharType="separate"/>
            </w:r>
            <w:r w:rsidR="006C5ED6">
              <w:rPr>
                <w:noProof/>
                <w:webHidden/>
              </w:rPr>
              <w:t>80</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41" w:history="1">
            <w:r w:rsidR="006C5ED6" w:rsidRPr="00DF78B3">
              <w:rPr>
                <w:rStyle w:val="afb"/>
                <w:rFonts w:eastAsia="Calibri"/>
                <w:noProof/>
                <w:lang w:eastAsia="en-US"/>
              </w:rPr>
              <w:t>Внешний аудитор</w:t>
            </w:r>
            <w:r w:rsidR="006C5ED6">
              <w:rPr>
                <w:noProof/>
                <w:webHidden/>
              </w:rPr>
              <w:tab/>
            </w:r>
            <w:r w:rsidR="006C5ED6">
              <w:rPr>
                <w:noProof/>
                <w:webHidden/>
              </w:rPr>
              <w:fldChar w:fldCharType="begin"/>
            </w:r>
            <w:r w:rsidR="006C5ED6">
              <w:rPr>
                <w:noProof/>
                <w:webHidden/>
              </w:rPr>
              <w:instrText xml:space="preserve"> PAGEREF _Toc195780441 \h </w:instrText>
            </w:r>
            <w:r w:rsidR="006C5ED6">
              <w:rPr>
                <w:noProof/>
                <w:webHidden/>
              </w:rPr>
            </w:r>
            <w:r w:rsidR="006C5ED6">
              <w:rPr>
                <w:noProof/>
                <w:webHidden/>
              </w:rPr>
              <w:fldChar w:fldCharType="separate"/>
            </w:r>
            <w:r w:rsidR="006C5ED6">
              <w:rPr>
                <w:noProof/>
                <w:webHidden/>
              </w:rPr>
              <w:t>85</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42" w:history="1">
            <w:r w:rsidR="006C5ED6" w:rsidRPr="00DF78B3">
              <w:rPr>
                <w:rStyle w:val="afb"/>
                <w:noProof/>
              </w:rPr>
              <w:t>Акционерный капитал, обращение ценных бумаг</w:t>
            </w:r>
            <w:r w:rsidR="006C5ED6">
              <w:rPr>
                <w:noProof/>
                <w:webHidden/>
              </w:rPr>
              <w:tab/>
            </w:r>
            <w:r w:rsidR="006C5ED6">
              <w:rPr>
                <w:noProof/>
                <w:webHidden/>
              </w:rPr>
              <w:fldChar w:fldCharType="begin"/>
            </w:r>
            <w:r w:rsidR="006C5ED6">
              <w:rPr>
                <w:noProof/>
                <w:webHidden/>
              </w:rPr>
              <w:instrText xml:space="preserve"> PAGEREF _Toc195780442 \h </w:instrText>
            </w:r>
            <w:r w:rsidR="006C5ED6">
              <w:rPr>
                <w:noProof/>
                <w:webHidden/>
              </w:rPr>
            </w:r>
            <w:r w:rsidR="006C5ED6">
              <w:rPr>
                <w:noProof/>
                <w:webHidden/>
              </w:rPr>
              <w:fldChar w:fldCharType="separate"/>
            </w:r>
            <w:r w:rsidR="006C5ED6">
              <w:rPr>
                <w:noProof/>
                <w:webHidden/>
              </w:rPr>
              <w:t>86</w:t>
            </w:r>
            <w:r w:rsidR="006C5ED6">
              <w:rPr>
                <w:noProof/>
                <w:webHidden/>
              </w:rPr>
              <w:fldChar w:fldCharType="end"/>
            </w:r>
          </w:hyperlink>
        </w:p>
        <w:p w:rsidR="006C5ED6" w:rsidRDefault="00577F4F">
          <w:pPr>
            <w:pStyle w:val="1f2"/>
            <w:rPr>
              <w:rFonts w:asciiTheme="minorHAnsi" w:eastAsiaTheme="minorEastAsia" w:hAnsiTheme="minorHAnsi" w:cstheme="minorBidi"/>
              <w:b w:val="0"/>
              <w:bCs w:val="0"/>
              <w:iCs w:val="0"/>
              <w:noProof/>
              <w:sz w:val="22"/>
              <w:szCs w:val="22"/>
              <w:lang w:eastAsia="ru-RU"/>
            </w:rPr>
          </w:pPr>
          <w:hyperlink w:anchor="_Toc195780443" w:history="1">
            <w:r w:rsidR="006C5ED6" w:rsidRPr="00DF78B3">
              <w:rPr>
                <w:rStyle w:val="afb"/>
                <w:noProof/>
              </w:rPr>
              <w:t>Контактная информация</w:t>
            </w:r>
            <w:r w:rsidR="006C5ED6">
              <w:rPr>
                <w:noProof/>
                <w:webHidden/>
              </w:rPr>
              <w:tab/>
            </w:r>
            <w:r w:rsidR="006C5ED6">
              <w:rPr>
                <w:noProof/>
                <w:webHidden/>
              </w:rPr>
              <w:fldChar w:fldCharType="begin"/>
            </w:r>
            <w:r w:rsidR="006C5ED6">
              <w:rPr>
                <w:noProof/>
                <w:webHidden/>
              </w:rPr>
              <w:instrText xml:space="preserve"> PAGEREF _Toc195780443 \h </w:instrText>
            </w:r>
            <w:r w:rsidR="006C5ED6">
              <w:rPr>
                <w:noProof/>
                <w:webHidden/>
              </w:rPr>
            </w:r>
            <w:r w:rsidR="006C5ED6">
              <w:rPr>
                <w:noProof/>
                <w:webHidden/>
              </w:rPr>
              <w:fldChar w:fldCharType="separate"/>
            </w:r>
            <w:r w:rsidR="006C5ED6">
              <w:rPr>
                <w:noProof/>
                <w:webHidden/>
              </w:rPr>
              <w:t>90</w:t>
            </w:r>
            <w:r w:rsidR="006C5ED6">
              <w:rPr>
                <w:noProof/>
                <w:webHidden/>
              </w:rPr>
              <w:fldChar w:fldCharType="end"/>
            </w:r>
          </w:hyperlink>
        </w:p>
        <w:p w:rsidR="009D2295" w:rsidRDefault="00CA7E8A">
          <w:pPr>
            <w:spacing w:after="0" w:line="240" w:lineRule="auto"/>
            <w:rPr>
              <w:sz w:val="24"/>
              <w:szCs w:val="24"/>
            </w:rPr>
          </w:pPr>
          <w:r w:rsidRPr="009D2295">
            <w:rPr>
              <w:rFonts w:ascii="Times New Roman" w:eastAsia="Times New Roman" w:hAnsi="Times New Roman" w:cs="Times New Roman"/>
              <w:iCs/>
              <w:sz w:val="24"/>
              <w:szCs w:val="24"/>
              <w:lang w:eastAsia="ru-RU"/>
            </w:rPr>
            <w:fldChar w:fldCharType="end"/>
          </w:r>
        </w:p>
      </w:sdtContent>
    </w:sdt>
    <w:p w:rsidR="00A10DA8" w:rsidRPr="006C5ED6" w:rsidRDefault="00CA7E8A">
      <w:pPr>
        <w:spacing w:after="0" w:line="240" w:lineRule="auto"/>
        <w:rPr>
          <w:b/>
          <w:bCs/>
          <w:sz w:val="26"/>
          <w:szCs w:val="26"/>
        </w:rPr>
      </w:pPr>
      <w:r w:rsidRPr="006C5ED6">
        <w:rPr>
          <w:rFonts w:ascii="Times New Roman" w:hAnsi="Times New Roman" w:cs="Times New Roman"/>
          <w:b/>
          <w:sz w:val="26"/>
          <w:szCs w:val="26"/>
        </w:rPr>
        <w:t xml:space="preserve">Приложения </w:t>
      </w:r>
    </w:p>
    <w:p w:rsidR="00A10DA8" w:rsidRPr="006C5ED6" w:rsidRDefault="00CA7E8A">
      <w:pPr>
        <w:pStyle w:val="aff"/>
        <w:numPr>
          <w:ilvl w:val="0"/>
          <w:numId w:val="3"/>
        </w:numPr>
        <w:rPr>
          <w:rFonts w:ascii="Times New Roman" w:hAnsi="Times New Roman" w:cs="Times New Roman"/>
          <w:b/>
          <w:sz w:val="26"/>
          <w:szCs w:val="26"/>
        </w:rPr>
      </w:pPr>
      <w:r w:rsidRPr="006C5ED6">
        <w:rPr>
          <w:rFonts w:ascii="Times New Roman" w:hAnsi="Times New Roman" w:cs="Times New Roman"/>
          <w:b/>
          <w:sz w:val="26"/>
          <w:szCs w:val="26"/>
        </w:rPr>
        <w:t>Бухгалтерская (финансовая) отчетность по РСБУ за 2024 год с аудиторским заключением………………</w:t>
      </w:r>
      <w:r w:rsidR="006C5ED6">
        <w:rPr>
          <w:rFonts w:ascii="Times New Roman" w:hAnsi="Times New Roman" w:cs="Times New Roman"/>
          <w:b/>
          <w:sz w:val="26"/>
          <w:szCs w:val="26"/>
        </w:rPr>
        <w:t>…..</w:t>
      </w:r>
      <w:r w:rsidRPr="006C5ED6">
        <w:rPr>
          <w:rFonts w:ascii="Times New Roman" w:hAnsi="Times New Roman" w:cs="Times New Roman"/>
          <w:b/>
          <w:sz w:val="26"/>
          <w:szCs w:val="26"/>
        </w:rPr>
        <w:t>……………………………….</w:t>
      </w:r>
      <w:r w:rsidR="0073328A" w:rsidRPr="006C5ED6">
        <w:rPr>
          <w:rFonts w:ascii="Times New Roman" w:hAnsi="Times New Roman" w:cs="Times New Roman"/>
          <w:b/>
          <w:sz w:val="26"/>
          <w:szCs w:val="26"/>
        </w:rPr>
        <w:t>9</w:t>
      </w:r>
      <w:r w:rsidR="006C5ED6" w:rsidRPr="006C5ED6">
        <w:rPr>
          <w:rFonts w:ascii="Times New Roman" w:hAnsi="Times New Roman" w:cs="Times New Roman"/>
          <w:b/>
          <w:sz w:val="26"/>
          <w:szCs w:val="26"/>
        </w:rPr>
        <w:t>1</w:t>
      </w:r>
    </w:p>
    <w:p w:rsidR="00A10DA8" w:rsidRPr="006C5ED6" w:rsidRDefault="00CA7E8A" w:rsidP="006C5ED6">
      <w:pPr>
        <w:pStyle w:val="aff"/>
        <w:numPr>
          <w:ilvl w:val="0"/>
          <w:numId w:val="3"/>
        </w:numPr>
        <w:jc w:val="both"/>
        <w:rPr>
          <w:rFonts w:ascii="Times New Roman" w:hAnsi="Times New Roman" w:cs="Times New Roman"/>
          <w:b/>
          <w:sz w:val="26"/>
          <w:szCs w:val="26"/>
        </w:rPr>
      </w:pPr>
      <w:r w:rsidRPr="006C5ED6">
        <w:rPr>
          <w:rFonts w:ascii="Times New Roman" w:hAnsi="Times New Roman" w:cs="Times New Roman"/>
          <w:b/>
          <w:sz w:val="26"/>
          <w:szCs w:val="26"/>
        </w:rPr>
        <w:lastRenderedPageBreak/>
        <w:t>Информация о заключенных АО «Чеченэнерго» в 2024 году крупных сделках и сделках, в совершении которых имеется заинтересованность</w:t>
      </w:r>
      <w:r w:rsidR="006C5ED6">
        <w:rPr>
          <w:rFonts w:ascii="Times New Roman" w:hAnsi="Times New Roman" w:cs="Times New Roman"/>
          <w:b/>
          <w:sz w:val="26"/>
          <w:szCs w:val="26"/>
        </w:rPr>
        <w:t>………………………………………………………...</w:t>
      </w:r>
      <w:r w:rsidRPr="006C5ED6">
        <w:rPr>
          <w:rFonts w:ascii="Times New Roman" w:hAnsi="Times New Roman" w:cs="Times New Roman"/>
          <w:b/>
          <w:sz w:val="26"/>
          <w:szCs w:val="26"/>
        </w:rPr>
        <w:t>16</w:t>
      </w:r>
      <w:r w:rsidR="006C5ED6">
        <w:rPr>
          <w:rFonts w:ascii="Times New Roman" w:hAnsi="Times New Roman" w:cs="Times New Roman"/>
          <w:b/>
          <w:sz w:val="26"/>
          <w:szCs w:val="26"/>
        </w:rPr>
        <w:t>7</w:t>
      </w:r>
    </w:p>
    <w:p w:rsidR="00A10DA8" w:rsidRPr="006C5ED6" w:rsidRDefault="00CA7E8A">
      <w:pPr>
        <w:pStyle w:val="aff"/>
        <w:numPr>
          <w:ilvl w:val="0"/>
          <w:numId w:val="3"/>
        </w:numPr>
        <w:rPr>
          <w:rFonts w:ascii="Times New Roman" w:hAnsi="Times New Roman" w:cs="Times New Roman"/>
          <w:b/>
          <w:sz w:val="26"/>
          <w:szCs w:val="26"/>
        </w:rPr>
      </w:pPr>
      <w:r w:rsidRPr="006C5ED6">
        <w:rPr>
          <w:rFonts w:ascii="Times New Roman" w:eastAsia="Times New Roman" w:hAnsi="Times New Roman" w:cs="Times New Roman"/>
          <w:b/>
          <w:sz w:val="26"/>
          <w:szCs w:val="26"/>
          <w:lang w:eastAsia="ru-RU"/>
        </w:rPr>
        <w:t>Информация об участии в некоммерческих организациях в 2024 году</w:t>
      </w:r>
      <w:r w:rsidR="006C5ED6">
        <w:rPr>
          <w:rFonts w:ascii="Times New Roman" w:eastAsia="Times New Roman" w:hAnsi="Times New Roman" w:cs="Times New Roman"/>
          <w:b/>
          <w:sz w:val="26"/>
          <w:szCs w:val="26"/>
          <w:lang w:eastAsia="ru-RU"/>
        </w:rPr>
        <w:t>……………………………………………………………………………</w:t>
      </w:r>
      <w:r w:rsidRPr="006C5ED6">
        <w:rPr>
          <w:rFonts w:ascii="Times New Roman" w:eastAsia="Times New Roman" w:hAnsi="Times New Roman" w:cs="Times New Roman"/>
          <w:b/>
          <w:sz w:val="26"/>
          <w:szCs w:val="26"/>
          <w:lang w:eastAsia="ru-RU"/>
        </w:rPr>
        <w:t>17</w:t>
      </w:r>
      <w:r w:rsidR="006C5ED6">
        <w:rPr>
          <w:rFonts w:ascii="Times New Roman" w:eastAsia="Times New Roman" w:hAnsi="Times New Roman" w:cs="Times New Roman"/>
          <w:b/>
          <w:sz w:val="26"/>
          <w:szCs w:val="26"/>
          <w:lang w:eastAsia="ru-RU"/>
        </w:rPr>
        <w:t>9</w:t>
      </w:r>
    </w:p>
    <w:p w:rsidR="00A10DA8" w:rsidRDefault="00CA7E8A">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clear="all"/>
      </w:r>
    </w:p>
    <w:p w:rsidR="00A10DA8" w:rsidRDefault="00CA7E8A">
      <w:pPr>
        <w:pStyle w:val="1"/>
        <w:ind w:firstLine="709"/>
      </w:pPr>
      <w:bookmarkStart w:id="3" w:name="_Toc195780406"/>
      <w:r>
        <w:lastRenderedPageBreak/>
        <w:t>Обращение Председателя Совета директоров АО «Чеченэнерго»</w:t>
      </w:r>
      <w:bookmarkEnd w:id="3"/>
    </w:p>
    <w:p w:rsidR="00A10DA8" w:rsidRDefault="00A10DA8">
      <w:pPr>
        <w:spacing w:after="0" w:line="240" w:lineRule="auto"/>
        <w:rPr>
          <w:sz w:val="24"/>
          <w:szCs w:val="24"/>
          <w:lang w:eastAsia="ru-RU"/>
        </w:rPr>
      </w:pP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sz w:val="24"/>
          <w:szCs w:val="24"/>
        </w:rPr>
        <w:t>Уважаемые акционеры!</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продолжалось активное развитие электросетевого комплекса Чеченской Республики: реализован план мероприятий эксплуатации, технического обслуживания и ремонта энергообъектов АО «Чеченэнерго», построены новые и модернизированы существующие линии электропередачи и электрооборудование.</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Для развития электросетевого комплекса Чеченской Республики ПАО «Россети» продолжает оказывать финансовую поддержку АО «Чеченэнерго» через докапитализацию компании в рамках проведения эмиссии дополнительных акций. В течение 2024 года АО «Чеченэнерго» разместило в пользу ПАО «Россети» дополнительные акции на общую сумму 3 млрд руб. Полученные средства направлены на реализацию важнейших проектов для повышения надежности электроснабжения потребителей и развития электросетевой инфраструктуры, создание необходимых условий для социально-экономического развития Чеченской Республики.</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Стабильной, слаженной и результативной работе АО «Чеченэнерго» в отчетном году способствовал Совет директоров, на заседаниях которого принимались решения по ключевым вопросам, направленным на обеспечение стратегического управления компанией, прозрачности деятельности и соблюдения прав акционеров.</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отчетном году усилия Совета директоров АО «Чеченэнерго» были направлены на решение ключевых задач развития, финансовую стабилизацию, сокращение потерь электроэнергии в сетях, повышение платежной дисциплины потребителей, совершенствование практики корпоративного управления. </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Совет директоров продолжит уделять первостепенное внимание вопросам корпоративного управления компании, ее открытости, и ставит перед собой задачи по дальнейшему повышению эффективности деятельности АО «Чеченэнерго», надежности и качества обслуживания потребителей, развитию корпоративной культуры.</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 уважением,</w:t>
      </w:r>
    </w:p>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Председатель Совета директоров</w:t>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t xml:space="preserve">   И.С. Кадиров</w:t>
      </w:r>
    </w:p>
    <w:p w:rsidR="00A10DA8" w:rsidRDefault="00CA7E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br w:type="page" w:clear="all"/>
      </w:r>
    </w:p>
    <w:p w:rsidR="00A10DA8" w:rsidRDefault="00CA7E8A">
      <w:pPr>
        <w:pStyle w:val="1"/>
        <w:ind w:firstLine="709"/>
      </w:pPr>
      <w:bookmarkStart w:id="4" w:name="_Toc195780407"/>
      <w:r>
        <w:lastRenderedPageBreak/>
        <w:t>Обращение Генерального директора управляющей организации – ПАО «Россети Северный Кавказ»</w:t>
      </w:r>
      <w:bookmarkEnd w:id="4"/>
    </w:p>
    <w:p w:rsidR="00A10DA8" w:rsidRDefault="00A10DA8">
      <w:pPr>
        <w:spacing w:after="0" w:line="240" w:lineRule="auto"/>
        <w:rPr>
          <w:rFonts w:ascii="Times New Roman" w:hAnsi="Times New Roman" w:cs="Times New Roman"/>
          <w:sz w:val="24"/>
          <w:szCs w:val="24"/>
        </w:rPr>
      </w:pPr>
    </w:p>
    <w:p w:rsidR="00A10DA8" w:rsidRDefault="00CA7E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Уважаемые акционеры, партнеры и коллеги!</w:t>
      </w:r>
    </w:p>
    <w:p w:rsidR="00A10DA8" w:rsidRDefault="00A10DA8">
      <w:pPr>
        <w:spacing w:after="0" w:line="240" w:lineRule="auto"/>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рамках реализации мероприятий по развитию электросетевого комплекса Чеченской Республики в тесном взаимодействии с республиканскими органами власти и при содействии Оперативного штаба по развитию электроэнергетики Чеченской Республики комплексно решаются вопросы, влияющие на качество и надежность электроснабжения потребителей региона.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совместной работе с Правительством Чеченской Республики АО «Чеченэнерго» успешно реализует Программу модернизации и повышения надежности электросетевого комплекса Чеченской Республики. На 100 % реализован годовой план по ремонту основного оборудования. Своевременно получен Паспорт готовности к осенне-зимнему периоду.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2024 году в рамках реализации первого этапа Программы повышения надежности электросетевого комплекса завершены строительно-монтажные и пусконаладочные работы с вводом в эксплуатацию следующих объектов: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подстанция 110 кВ «ГРП»;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подстанция 110 кВ «Октябрьская»;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подстанция 35 кВ «Беной»;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подстанция 35 кВ «Аэропорт».</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Завершены пусконаладочные работы в рамках технологического присоединения всесезонного туристско-рекреационного комплекса «Ведучи», одного из крупнейших туристических объектов Северного Кавказа, по следующим титулам:</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«Реконструкция подстанций 110 кВ «Цемзавод» и 110 кВ «Шали».</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Кроме того, в рамках технологического присоединения ВТРК «Ведучи» частично выполнены мероприятия по строительству подстанции 110 кВ «Ведучи», завершение работ планируется в 2025 году.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 2024 году была продолжена реализация Программы снижения потерь электроэнергии в сетях АО «Чеченэнерго» со сроком завершения технических мероприятий до конца 2026 года. По состоянию на 31 декабря 2024 года реализованы следующие мероприятия Программы:</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приобретение 90 единиц автотранспорта и спецтехники для реализации организационных мероприятий по снижению потерь электроэнергии из запланированных 90 единиц;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реконструкция сети 10-0,4 кВ в объеме 1 403,2 км из запланированных 1 746,4 км;</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монтаж 53 </w:t>
      </w:r>
      <w:r w:rsidR="007E730F">
        <w:rPr>
          <w:rFonts w:ascii="Times New Roman" w:hAnsi="Times New Roman" w:cs="Times New Roman"/>
          <w:sz w:val="24"/>
          <w:szCs w:val="24"/>
          <w:lang w:eastAsia="ru-RU"/>
        </w:rPr>
        <w:t xml:space="preserve">905 </w:t>
      </w:r>
      <w:r>
        <w:rPr>
          <w:rFonts w:ascii="Times New Roman" w:hAnsi="Times New Roman" w:cs="Times New Roman"/>
          <w:sz w:val="24"/>
          <w:szCs w:val="24"/>
          <w:lang w:eastAsia="ru-RU"/>
        </w:rPr>
        <w:t>прибора учета электроэнергии из запланированных 112 490.</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2024 году с целью повышения уровня платежной дисциплины, в том числе по текущим платежам за потребленную электроэнергию, АО «Чеченэнерго» реализован комплекс мероприятий по следующим направлениям: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претензионно-исковая деятельность;</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рейдовые мероприятия по взысканию задолженности;</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ограничение потребителей-неплательщиков;</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заключение договоров о реструктуризации долга;</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рассылка СМС-уведомлений о введении режима ограничения потребления электроэнергии;</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разъяснительная работа в СМИ и социальных сетях;</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консультативное содействие при установке мобильного приложения АО «Чеченэнерго».</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Рост объемов потребления на розничном рынке электроэнергии относительно 2023 г. составил 273 млн кВт∙ч, рост объема выручки – 1 739 млн руб. с НДС, рост объема </w:t>
      </w:r>
      <w:r>
        <w:rPr>
          <w:rFonts w:ascii="Times New Roman" w:hAnsi="Times New Roman" w:cs="Times New Roman"/>
          <w:sz w:val="24"/>
          <w:szCs w:val="24"/>
          <w:lang w:eastAsia="ru-RU"/>
        </w:rPr>
        <w:lastRenderedPageBreak/>
        <w:t>поступивших в счет оплаты потребленной электрической энергии денежных средств – 1 396 млн руб. с НДС.</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Уровень оплаты потребителей розничного рынка по итогам 2024 г. составил 91,7 %, в том числе</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потребителей, отнесенных к категории «население» – 100,8 %,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потребителей, финансируемых из средств республиканского и местных бюджетов – 101,7 %.</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 2024 году выявлены 313 объектов электросетевого хозяйства, имеющих признаки бесхозяйного имущества, в том числе 132 трансформаторные подстанции и 181 линия электропередачи общей протяженностью 384,7 км.</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Предприняты меры по проведению установленных законом процедур по признанию данного электросетевого имущества бесхозяйным и оформления прав собственности АО «Чеченэнерго».</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Озвученные итоги 2024 года – это результат продуктивной работы всех сотрудников АО «Чеченэнерго», которым хотелось бы выразить признательность за профессионализм и неравнодушие.</w:t>
      </w:r>
    </w:p>
    <w:p w:rsidR="00A10DA8" w:rsidRDefault="00CA7E8A">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Уверен, благодаря совместным усилиям в 2025 году мы сможем достигнуть еще более высоких результатов по ключевым вопросам, направленным на обеспечение качественного управления, прозрачности деятельности электросетевой компании и соблюдения прав акционеров.</w:t>
      </w:r>
    </w:p>
    <w:p w:rsidR="00A10DA8" w:rsidRDefault="00A10DA8">
      <w:pPr>
        <w:spacing w:after="0" w:line="240" w:lineRule="auto"/>
        <w:jc w:val="both"/>
        <w:rPr>
          <w:rFonts w:ascii="Times New Roman" w:hAnsi="Times New Roman" w:cs="Times New Roman"/>
          <w:sz w:val="24"/>
          <w:szCs w:val="24"/>
          <w:lang w:eastAsia="ru-RU"/>
        </w:rPr>
      </w:pPr>
    </w:p>
    <w:p w:rsidR="00A10DA8" w:rsidRDefault="00A10DA8">
      <w:pPr>
        <w:spacing w:after="0" w:line="240" w:lineRule="auto"/>
        <w:jc w:val="both"/>
        <w:rPr>
          <w:rFonts w:ascii="Times New Roman" w:hAnsi="Times New Roman" w:cs="Times New Roman"/>
          <w:sz w:val="24"/>
          <w:szCs w:val="24"/>
          <w:lang w:eastAsia="ru-RU"/>
        </w:rPr>
      </w:pPr>
    </w:p>
    <w:p w:rsidR="00A10DA8" w:rsidRDefault="00A10DA8">
      <w:pPr>
        <w:spacing w:after="0" w:line="240" w:lineRule="auto"/>
        <w:jc w:val="both"/>
        <w:rPr>
          <w:rFonts w:ascii="Times New Roman" w:hAnsi="Times New Roman" w:cs="Times New Roman"/>
          <w:sz w:val="24"/>
          <w:szCs w:val="24"/>
          <w:lang w:eastAsia="ru-RU"/>
        </w:rPr>
      </w:pPr>
    </w:p>
    <w:p w:rsidR="00A10DA8" w:rsidRDefault="00CA7E8A">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 уважением,</w:t>
      </w:r>
    </w:p>
    <w:p w:rsidR="00A10DA8" w:rsidRDefault="00CA7E8A">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Генеральный директор управляющей </w:t>
      </w:r>
    </w:p>
    <w:p w:rsidR="00A10DA8" w:rsidRDefault="00CA7E8A">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организации АО «Чеченэнерго»</w:t>
      </w:r>
    </w:p>
    <w:p w:rsidR="00A10DA8" w:rsidRDefault="00CA7E8A">
      <w:pPr>
        <w:spacing w:after="0" w:line="240" w:lineRule="auto"/>
        <w:jc w:val="both"/>
        <w:rPr>
          <w:sz w:val="24"/>
          <w:szCs w:val="24"/>
          <w:lang w:eastAsia="ru-RU"/>
        </w:rPr>
      </w:pPr>
      <w:r>
        <w:rPr>
          <w:rFonts w:ascii="Times New Roman" w:hAnsi="Times New Roman" w:cs="Times New Roman"/>
          <w:sz w:val="24"/>
          <w:szCs w:val="24"/>
          <w:lang w:eastAsia="ru-RU"/>
        </w:rPr>
        <w:t>– ПАО «Россети Северный Кавказ»</w:t>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Р.А. Левченко</w:t>
      </w:r>
      <w:bookmarkEnd w:id="2"/>
    </w:p>
    <w:p w:rsidR="00A10DA8" w:rsidRDefault="00CA7E8A">
      <w:pPr>
        <w:spacing w:after="160" w:line="259" w:lineRule="auto"/>
        <w:rPr>
          <w:rFonts w:ascii="Times New Roman" w:eastAsia="Times New Roman" w:hAnsi="Times New Roman" w:cs="Times New Roman"/>
          <w:b/>
          <w:bCs/>
          <w:sz w:val="24"/>
          <w:szCs w:val="24"/>
          <w:lang w:eastAsia="ru-RU"/>
        </w:rPr>
      </w:pPr>
      <w:r>
        <w:rPr>
          <w:sz w:val="24"/>
          <w:szCs w:val="24"/>
        </w:rPr>
        <w:br w:type="page" w:clear="all"/>
      </w:r>
    </w:p>
    <w:p w:rsidR="00A10DA8" w:rsidRDefault="00CA7E8A">
      <w:pPr>
        <w:pStyle w:val="1"/>
        <w:ind w:firstLine="709"/>
      </w:pPr>
      <w:bookmarkStart w:id="5" w:name="_Toc195780408"/>
      <w:r>
        <w:lastRenderedPageBreak/>
        <w:t>О Компании</w:t>
      </w:r>
      <w:bookmarkEnd w:id="5"/>
    </w:p>
    <w:p w:rsidR="00A10DA8" w:rsidRDefault="00A10DA8">
      <w:pPr>
        <w:tabs>
          <w:tab w:val="left" w:pos="993"/>
        </w:tabs>
        <w:spacing w:after="0" w:line="240" w:lineRule="auto"/>
        <w:ind w:right="-143"/>
        <w:contextualSpacing/>
        <w:jc w:val="both"/>
        <w:rPr>
          <w:rFonts w:ascii="Times New Roman" w:hAnsi="Times New Roman" w:cs="Times New Roman"/>
          <w:sz w:val="24"/>
          <w:szCs w:val="24"/>
        </w:rPr>
      </w:pP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АО «Чеченэнерго» (далее – Общество) основано в 2008 году и является частью единой энергетической системы Российской Федерации. Главой Чеченской Республики Р.А. Кадыровым, Председателем Правления ОАО РАО «ЕЭС России» А.Б. Чубайсом подписано Соглашение о взаимодействии Чеченской Республики, ОАО РАО «ЕЭС России» и ОАО «Нурэнерго» в электроэнергетическом комплексе Чеченской Республики в 2007-2008 гг. от 13.08.2007 № 05-07, на основании которого 08.05.2008 создано Общество.</w:t>
      </w: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С 01.10.2013 Общество осуществляет операционную деятельность по передаче и распределению электроэнергии, а также оказывает услуги по технологическому присоединению энергопринимающих устройств потребителей к сетевой инфраструктуре на территории Чеченской Республики площадью 16,2 тыс. кв. км. и населением 1 575,8 тыс. чел.</w:t>
      </w:r>
      <w:r>
        <w:rPr>
          <w:rStyle w:val="afe"/>
          <w:rFonts w:ascii="Times New Roman" w:hAnsi="Times New Roman" w:cs="Times New Roman"/>
          <w:sz w:val="24"/>
          <w:szCs w:val="24"/>
        </w:rPr>
        <w:footnoteReference w:id="1"/>
      </w:r>
      <w:r>
        <w:rPr>
          <w:rFonts w:ascii="Times New Roman" w:hAnsi="Times New Roman" w:cs="Times New Roman"/>
          <w:sz w:val="24"/>
          <w:szCs w:val="24"/>
        </w:rPr>
        <w:t xml:space="preserve"> Столица Чеченской Республики – город Грозный.</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2013-2014 гг. осуществлены мероприятия по первому этапу консолидации электросетевого имущества ПАО «Россети» (ранее – ОАО «Холдинг МРСК») и Чеченской Республики, расположенного на территории Чеченской Республики в рамках единой сетевой компании – АО «Чеченэнерго». По результатам проведенных мероприятий по консолидации электросетевого имущества доли участия в уставном капитале Общества составили: доля Чеченской Республики в лице Министерства имущественных и земельных отношении Чеченской Республики – 27,3 %, доля ПАО «Россети» – 72,7 %. В результате размещения акций дополнительных выпусков Общества в период 2016-2024 гг. и по состоянию на 31.12.2024 доли участия в уставном капитале Общества составили: доля Чеченской Республики в лице Министерства имущественных и земельных отношении Чеченской Республики – 8,67 %, доля ПАО «Россети» – 91,33 %. Подробная информация о дополнительных выпусках акций Общества содержится в подразделе «Акционерный капитал, обращение ценных бумаг».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связи с лишением ОАО «Нурэнерго» статуса гарантирующего поставщика с 01.05.2015 приказом Министерства энергетики Российской Федерации от 24.04.2015 № 242 АО «Чеченэнерго» присвоен статус гарантирующего поставщика на территории Чеченской Республики. Министерство энергетики Российской Федерации приказами от 25.04.2016 № 339, от 24.04.2017 № 352, от 20.04.2018 № 296, от 22.04.2019 № 406, от 29.04.2020 № 340, 27.04.2021 № 312, от 29.04.2022 № 377, от 19.04.2023 № 262, 26.04.2024 № 399 продлило статус гарантирующего поставщика АО</w:t>
      </w:r>
      <w:r>
        <w:rPr>
          <w:rFonts w:ascii="Times New Roman" w:hAnsi="Times New Roman" w:cs="Times New Roman"/>
          <w:sz w:val="24"/>
          <w:szCs w:val="24"/>
          <w:lang w:val="en-US"/>
        </w:rPr>
        <w:t> </w:t>
      </w:r>
      <w:r>
        <w:rPr>
          <w:rFonts w:ascii="Times New Roman" w:hAnsi="Times New Roman" w:cs="Times New Roman"/>
          <w:sz w:val="24"/>
          <w:szCs w:val="24"/>
        </w:rPr>
        <w:t>«Чеченэнерго» до выбора победителя конкурса на присвоение статуса. Общество является единственным гарантирующим поставщиком электрической энергии на территории Чеченской Республики.</w:t>
      </w:r>
    </w:p>
    <w:p w:rsidR="00A10DA8" w:rsidRDefault="00A10DA8">
      <w:pPr>
        <w:spacing w:after="0" w:line="240" w:lineRule="auto"/>
        <w:ind w:right="-142"/>
        <w:contextualSpacing/>
        <w:rPr>
          <w:rFonts w:ascii="Times New Roman" w:hAnsi="Times New Roman" w:cs="Times New Roman"/>
          <w:b/>
          <w:sz w:val="24"/>
          <w:szCs w:val="24"/>
        </w:rPr>
      </w:pPr>
    </w:p>
    <w:p w:rsidR="00A10DA8" w:rsidRDefault="00CA7E8A">
      <w:pPr>
        <w:spacing w:after="0" w:line="240" w:lineRule="auto"/>
        <w:ind w:right="-143" w:firstLine="709"/>
        <w:contextualSpacing/>
        <w:rPr>
          <w:rFonts w:ascii="Times New Roman" w:hAnsi="Times New Roman" w:cs="Times New Roman"/>
          <w:b/>
          <w:sz w:val="24"/>
          <w:szCs w:val="24"/>
        </w:rPr>
      </w:pPr>
      <w:r>
        <w:rPr>
          <w:rFonts w:ascii="Times New Roman" w:hAnsi="Times New Roman" w:cs="Times New Roman"/>
          <w:b/>
          <w:sz w:val="24"/>
          <w:szCs w:val="24"/>
        </w:rPr>
        <w:t>География деятельности и основные активы</w:t>
      </w:r>
    </w:p>
    <w:p w:rsidR="00A10DA8" w:rsidRDefault="00CA7E8A">
      <w:pPr>
        <w:tabs>
          <w:tab w:val="left" w:pos="993"/>
        </w:tabs>
        <w:spacing w:after="0" w:line="240" w:lineRule="auto"/>
        <w:ind w:right="-142"/>
        <w:contextualSpacing/>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extent cx="2896579" cy="3276000"/>
                <wp:effectExtent l="0" t="0" r="0" b="635"/>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
                        <a:stretch/>
                      </pic:blipFill>
                      <pic:spPr bwMode="auto">
                        <a:xfrm>
                          <a:off x="0" y="0"/>
                          <a:ext cx="2896579" cy="32760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28.08pt;height:257.95pt;mso-wrap-distance-left:0.00pt;mso-wrap-distance-top:0.00pt;mso-wrap-distance-right:0.00pt;mso-wrap-distance-bottom:0.00pt;" stroked="f">
                <v:path textboxrect="0,0,0,0"/>
                <v:imagedata r:id="rId13" o:title=""/>
              </v:shape>
            </w:pict>
          </mc:Fallback>
        </mc:AlternateContent>
      </w:r>
    </w:p>
    <w:p w:rsidR="00A10DA8" w:rsidRDefault="00A10DA8">
      <w:pPr>
        <w:spacing w:after="0" w:line="240" w:lineRule="auto"/>
        <w:rPr>
          <w:sz w:val="24"/>
          <w:szCs w:val="24"/>
          <w:lang w:eastAsia="ru-RU"/>
        </w:rPr>
      </w:pPr>
    </w:p>
    <w:p w:rsidR="00A10DA8" w:rsidRDefault="00CA7E8A">
      <w:pPr>
        <w:pStyle w:val="1"/>
        <w:ind w:right="-143" w:firstLine="709"/>
        <w:rPr>
          <w:b w:val="0"/>
          <w:bCs w:val="0"/>
        </w:rPr>
      </w:pPr>
      <w:bookmarkStart w:id="6" w:name="_Toc195780409"/>
      <w:r>
        <w:t>Стратегический отчет</w:t>
      </w:r>
      <w:bookmarkEnd w:id="6"/>
    </w:p>
    <w:p w:rsidR="00A10DA8" w:rsidRDefault="00A10DA8">
      <w:pPr>
        <w:spacing w:after="0" w:line="240" w:lineRule="auto"/>
        <w:rPr>
          <w:sz w:val="24"/>
          <w:szCs w:val="24"/>
          <w:lang w:eastAsia="ru-RU"/>
        </w:rPr>
      </w:pPr>
    </w:p>
    <w:p w:rsidR="00A10DA8" w:rsidRDefault="00CA7E8A">
      <w:pPr>
        <w:pStyle w:val="1"/>
        <w:ind w:right="-143" w:firstLine="709"/>
      </w:pPr>
      <w:bookmarkStart w:id="7" w:name="_Toc63934312"/>
      <w:bookmarkStart w:id="8" w:name="_Toc158019510"/>
      <w:bookmarkStart w:id="9" w:name="_Toc195780410"/>
      <w:r>
        <w:t>Положение Компании на рынке и конкурентная среда</w:t>
      </w:r>
      <w:bookmarkEnd w:id="7"/>
      <w:bookmarkEnd w:id="8"/>
      <w:bookmarkEnd w:id="9"/>
    </w:p>
    <w:p w:rsidR="00A10DA8" w:rsidRDefault="00A10DA8">
      <w:pPr>
        <w:keepNext/>
        <w:keepLines/>
        <w:widowControl w:val="0"/>
        <w:spacing w:after="0" w:line="240" w:lineRule="auto"/>
        <w:ind w:firstLine="708"/>
        <w:outlineLvl w:val="1"/>
        <w:rPr>
          <w:rFonts w:ascii="Times New Roman" w:eastAsia="Calibri" w:hAnsi="Times New Roman" w:cs="Times New Roman"/>
          <w:b/>
          <w:sz w:val="24"/>
          <w:szCs w:val="24"/>
          <w:lang w:eastAsia="ru-RU"/>
        </w:rPr>
      </w:pPr>
    </w:p>
    <w:p w:rsidR="00A10DA8" w:rsidRDefault="00CA7E8A">
      <w:pPr>
        <w:spacing w:after="0"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В связи с лишением ОАО «Нурэнерго» статуса Гарантирующего поставщика в соответствии с приказом Минэнерго России от 24.04.2015 № 242, Общество осуществило подхват функции Гарантирующего поставщика на территории Чеченской Республики с 01.05.2015 в соответствии с требованиями законодательства Российской Федерации.</w:t>
      </w:r>
    </w:p>
    <w:p w:rsidR="00A10DA8" w:rsidRDefault="00CA7E8A">
      <w:pPr>
        <w:spacing w:after="0"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 xml:space="preserve">Статус гарантирующего поставщика для Общества на территории Чеченской Республики продляется ежегодно, в том числе продлен на 2024 год Приказом Министерства энергетики Российской Федерации от 26.04.2024 № 399 – с 01.05.2024 до даты вступления в силу решения о присвоении статуса гарантирующего поставщика победителю конкурса в отношении указанной зоны деятельности. </w:t>
      </w:r>
    </w:p>
    <w:p w:rsidR="00A10DA8" w:rsidRDefault="00CA7E8A">
      <w:pPr>
        <w:tabs>
          <w:tab w:val="left" w:pos="567"/>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Купля-продажа электрической энергии и мощности на оптовом рынке электрической энергии и мощности (ОРЭМ) осуществляется в рамках системы договоров, обязательных к заключению для каждого субъекта оптового рынка. Условия указанных договоров регулируются действующим законодательством об электроэнергетике. Цены на электрическую энергию и мощность в регулируемых договорах соответствуют тарифным ставкам на электрическую энергию и мощность, утвержденным для поставщиков электрической энергии (мощности) федеральным органом исполнительной власти в области государственного регулирования тарифов. Порядок ценообразования в свободных (нерегулируемых) секторах ОРЭМ определен Федеральным законом от 26.03.2003 № 35-ФЗ «Об электроэнергетике» и Правилами оптового рынка электрической энергии и мощности, утвержденными постановлением Правительства Российской Федерации от 27.12.2010 № 1172, Договором о присоединении к торговой системе оптового рынка.</w:t>
      </w:r>
    </w:p>
    <w:p w:rsidR="00A10DA8" w:rsidRDefault="00CA7E8A">
      <w:pPr>
        <w:tabs>
          <w:tab w:val="left" w:pos="426"/>
          <w:tab w:val="left" w:pos="993"/>
        </w:tabs>
        <w:spacing w:after="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В целях урегулирования задолженности на ОРЭМ, в феврале 2022 года между Обществом и генерирующими компаниями – кредиторами заключены соглашения о порядке исполнения обязательств (далее - Соглашения), действие которых продлено на 2024 год посредством подписания дополнительных Соглашений в феврале 2024 года. В соответствии с условиями Соглашений предусмотрено два варианта расчетов на ОРЭМ:</w:t>
      </w:r>
    </w:p>
    <w:p w:rsidR="00A10DA8" w:rsidRDefault="00CA7E8A">
      <w:pPr>
        <w:tabs>
          <w:tab w:val="left" w:pos="426"/>
          <w:tab w:val="left" w:pos="993"/>
        </w:tabs>
        <w:spacing w:after="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простыми банковскими векселями с дисконтом 10 % и дальнейшей их передачей в адрес контрагентов по номинальной стоимости;</w:t>
      </w:r>
    </w:p>
    <w:p w:rsidR="00A10DA8" w:rsidRDefault="00CA7E8A">
      <w:pPr>
        <w:tabs>
          <w:tab w:val="left" w:pos="426"/>
          <w:tab w:val="left" w:pos="993"/>
        </w:tabs>
        <w:spacing w:after="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lastRenderedPageBreak/>
        <w:t>2)</w:t>
      </w:r>
      <w:r>
        <w:rPr>
          <w:rFonts w:ascii="Times New Roman" w:hAnsi="Times New Roman" w:cs="Times New Roman"/>
          <w:sz w:val="24"/>
          <w:szCs w:val="24"/>
        </w:rPr>
        <w:tab/>
        <w:t>денежными средствами с отсрочкой части платежа в размере 10 % до 2036 года по обязательствам 2022 года, до 2037 года – по обязательствам 2023 года, до 2038 года – по обязательствам 2024 года.</w:t>
      </w:r>
    </w:p>
    <w:p w:rsidR="00A10DA8" w:rsidRDefault="00CA7E8A">
      <w:pPr>
        <w:spacing w:after="0"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 xml:space="preserve">Дополнительные Соглашения на 2024 год подписали 54 генерирующие компании, из которых 50 выбрали вексельный вариант расчетов. Вексельный вариант расчетов предполагает исполнение обязательств в 2024 гоу дисконтными (10 %) векселями ежеквартально в срок не позднее 15-го числа второго месяца, следующего за расчетным кварталом. Вариант расчетов денежными средствами предполагает исполнение обязательств в 2024 году ежеквартально в срок не позднее 15-го числа второго месяца, следующего за расчетным кварталом, с частичной отсрочкой платежа в размере 10 % до 2038 года </w:t>
      </w:r>
    </w:p>
    <w:p w:rsidR="00A10DA8" w:rsidRDefault="00CA7E8A">
      <w:pPr>
        <w:spacing w:after="0"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По итогам 2024 года Обществом произведены все расчеты векселями и полностью оплачены обязательства на ОРЭМ за 2024 год в соответствии с условиями Соглашений в части генерирующих компаний, заключивших Соглашения, и требованиями Регламента финансовых расчетов на оптовом рынке электроэнергии и мощности (Приложение № 16 к Договору о присоединении к торговой системе оптового рынка) в части генерирующих компаний – кредиторов, не присоединившихся к урегулированию задолженности путем заключения Соглашений.</w:t>
      </w:r>
    </w:p>
    <w:p w:rsidR="00A10DA8" w:rsidRDefault="00CA7E8A">
      <w:pPr>
        <w:spacing w:after="0" w:line="240" w:lineRule="auto"/>
        <w:ind w:firstLine="708"/>
        <w:contextualSpacing/>
        <w:jc w:val="both"/>
        <w:rPr>
          <w:rFonts w:ascii="Times New Roman" w:hAnsi="Times New Roman" w:cs="Times New Roman"/>
          <w:sz w:val="24"/>
          <w:szCs w:val="24"/>
        </w:rPr>
      </w:pPr>
      <w:r>
        <w:rPr>
          <w:rFonts w:ascii="Times New Roman" w:hAnsi="Times New Roman" w:cs="Times New Roman"/>
          <w:sz w:val="24"/>
          <w:szCs w:val="24"/>
        </w:rPr>
        <w:t>Учитывая изложенное, конкуренты у АО «Чеченэнерго» на территории Чеченской республики в части деятельности на ОРЭМ отсутствуют.</w:t>
      </w:r>
    </w:p>
    <w:p w:rsidR="00A10DA8" w:rsidRDefault="00A10DA8">
      <w:pPr>
        <w:spacing w:after="0" w:line="240" w:lineRule="auto"/>
        <w:ind w:firstLine="708"/>
        <w:contextualSpacing/>
        <w:jc w:val="both"/>
        <w:rPr>
          <w:rFonts w:ascii="Times New Roman" w:eastAsia="Calibri" w:hAnsi="Times New Roman" w:cs="Times New Roman"/>
          <w:sz w:val="24"/>
          <w:szCs w:val="24"/>
        </w:rPr>
      </w:pPr>
    </w:p>
    <w:p w:rsidR="00A10DA8" w:rsidRDefault="00CA7E8A">
      <w:pPr>
        <w:spacing w:after="0" w:line="240" w:lineRule="auto"/>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Расчеты за электроэнергию и услуги по ее передаче</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823"/>
        <w:gridCol w:w="1029"/>
        <w:gridCol w:w="1028"/>
        <w:gridCol w:w="1029"/>
        <w:gridCol w:w="950"/>
      </w:tblGrid>
      <w:tr w:rsidR="00A10DA8">
        <w:trPr>
          <w:cantSplit/>
          <w:trHeight w:val="60"/>
          <w:jc w:val="center"/>
        </w:trPr>
        <w:tc>
          <w:tcPr>
            <w:tcW w:w="4673" w:type="dxa"/>
            <w:vMerge w:val="restart"/>
            <w:vAlign w:val="center"/>
          </w:tcPr>
          <w:p w:rsidR="00A10DA8" w:rsidRDefault="00CA7E8A">
            <w:pPr>
              <w:widowControl w:val="0"/>
              <w:spacing w:after="0" w:line="240" w:lineRule="auto"/>
              <w:ind w:left="-113" w:right="-114"/>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Показатели</w:t>
            </w:r>
          </w:p>
        </w:tc>
        <w:tc>
          <w:tcPr>
            <w:tcW w:w="823" w:type="dxa"/>
            <w:vMerge w:val="restart"/>
            <w:vAlign w:val="center"/>
          </w:tcPr>
          <w:p w:rsidR="00A10DA8" w:rsidRDefault="00CA7E8A">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Ед. изм.</w:t>
            </w:r>
          </w:p>
        </w:tc>
        <w:tc>
          <w:tcPr>
            <w:tcW w:w="4036"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Период</w:t>
            </w:r>
          </w:p>
        </w:tc>
      </w:tr>
      <w:tr w:rsidR="00A10DA8">
        <w:trPr>
          <w:cantSplit/>
          <w:jc w:val="center"/>
        </w:trPr>
        <w:tc>
          <w:tcPr>
            <w:tcW w:w="4673" w:type="dxa"/>
            <w:vMerge/>
          </w:tcPr>
          <w:p w:rsidR="00A10DA8" w:rsidRDefault="00A10DA8">
            <w:pPr>
              <w:widowControl w:val="0"/>
              <w:spacing w:after="0" w:line="240" w:lineRule="auto"/>
              <w:ind w:left="426" w:right="-143" w:hanging="426"/>
              <w:jc w:val="center"/>
              <w:rPr>
                <w:rFonts w:ascii="Times New Roman" w:eastAsia="Times New Roman" w:hAnsi="Times New Roman" w:cs="Times New Roman"/>
                <w:b/>
                <w:bCs/>
                <w:color w:val="000000"/>
                <w:sz w:val="20"/>
                <w:szCs w:val="24"/>
                <w:lang w:eastAsia="ru-RU"/>
              </w:rPr>
            </w:pPr>
          </w:p>
        </w:tc>
        <w:tc>
          <w:tcPr>
            <w:tcW w:w="823" w:type="dxa"/>
            <w:vMerge/>
          </w:tcPr>
          <w:p w:rsidR="00A10DA8" w:rsidRDefault="00A10DA8">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4"/>
                <w:lang w:eastAsia="ru-RU"/>
              </w:rPr>
            </w:pPr>
          </w:p>
        </w:tc>
        <w:tc>
          <w:tcPr>
            <w:tcW w:w="1029" w:type="dxa"/>
            <w:vAlign w:val="center"/>
          </w:tcPr>
          <w:p w:rsidR="00A10DA8" w:rsidRDefault="00CA7E8A">
            <w:pPr>
              <w:widowControl w:val="0"/>
              <w:spacing w:after="0" w:line="240" w:lineRule="auto"/>
              <w:ind w:left="-96" w:right="-122"/>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2022 г.</w:t>
            </w:r>
          </w:p>
          <w:p w:rsidR="00A10DA8" w:rsidRDefault="00CA7E8A">
            <w:pPr>
              <w:widowControl w:val="0"/>
              <w:spacing w:after="0" w:line="240" w:lineRule="auto"/>
              <w:ind w:left="-96" w:right="-122"/>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факт</w:t>
            </w:r>
          </w:p>
        </w:tc>
        <w:tc>
          <w:tcPr>
            <w:tcW w:w="1028" w:type="dxa"/>
            <w:shd w:val="clear" w:color="auto" w:fill="auto"/>
            <w:vAlign w:val="center"/>
          </w:tcPr>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2023 г.</w:t>
            </w:r>
          </w:p>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факт</w:t>
            </w:r>
          </w:p>
        </w:tc>
        <w:tc>
          <w:tcPr>
            <w:tcW w:w="1029" w:type="dxa"/>
            <w:vAlign w:val="center"/>
          </w:tcPr>
          <w:p w:rsidR="00A10DA8" w:rsidRDefault="00CA7E8A">
            <w:pPr>
              <w:widowControl w:val="0"/>
              <w:spacing w:after="0" w:line="240" w:lineRule="auto"/>
              <w:ind w:left="-119" w:right="-143"/>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2024 г.</w:t>
            </w:r>
          </w:p>
          <w:p w:rsidR="00A10DA8" w:rsidRDefault="00CA7E8A">
            <w:pPr>
              <w:widowControl w:val="0"/>
              <w:spacing w:after="0" w:line="240" w:lineRule="auto"/>
              <w:ind w:left="-119" w:right="-143"/>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факт</w:t>
            </w:r>
          </w:p>
        </w:tc>
        <w:tc>
          <w:tcPr>
            <w:tcW w:w="950" w:type="dxa"/>
            <w:vAlign w:val="center"/>
          </w:tcPr>
          <w:p w:rsidR="00A10DA8" w:rsidRDefault="00CA7E8A">
            <w:pPr>
              <w:widowControl w:val="0"/>
              <w:spacing w:after="0" w:line="240" w:lineRule="auto"/>
              <w:ind w:left="-107" w:right="-143"/>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изменение 2024/2023, %</w:t>
            </w:r>
          </w:p>
        </w:tc>
      </w:tr>
      <w:tr w:rsidR="00A10DA8">
        <w:trPr>
          <w:cantSplit/>
          <w:jc w:val="center"/>
        </w:trPr>
        <w:tc>
          <w:tcPr>
            <w:tcW w:w="4673" w:type="dxa"/>
            <w:tcBorders>
              <w:top w:val="single" w:sz="4" w:space="0" w:color="auto"/>
              <w:left w:val="single" w:sz="4" w:space="0" w:color="auto"/>
              <w:bottom w:val="single" w:sz="4" w:space="0" w:color="auto"/>
            </w:tcBorders>
            <w:vAlign w:val="center"/>
          </w:tcPr>
          <w:p w:rsidR="00A10DA8" w:rsidRDefault="00CA7E8A">
            <w:pPr>
              <w:tabs>
                <w:tab w:val="left" w:pos="9356"/>
              </w:tabs>
              <w:spacing w:after="0" w:line="240" w:lineRule="auto"/>
              <w:ind w:left="28"/>
              <w:jc w:val="both"/>
              <w:rPr>
                <w:rFonts w:ascii="Times New Roman" w:hAnsi="Times New Roman" w:cs="Times New Roman"/>
                <w:color w:val="000000"/>
                <w:sz w:val="20"/>
                <w:szCs w:val="24"/>
              </w:rPr>
            </w:pPr>
            <w:r>
              <w:rPr>
                <w:rFonts w:ascii="Times New Roman" w:hAnsi="Times New Roman" w:cs="Times New Roman"/>
                <w:color w:val="000000"/>
                <w:sz w:val="20"/>
                <w:szCs w:val="24"/>
              </w:rPr>
              <w:t>Уровень сбора денежных средств за поставленную на розничном рынке электроэнергию</w:t>
            </w:r>
          </w:p>
        </w:tc>
        <w:tc>
          <w:tcPr>
            <w:tcW w:w="823" w:type="dxa"/>
            <w:tcBorders>
              <w:top w:val="single" w:sz="4" w:space="0" w:color="auto"/>
              <w:left w:val="single" w:sz="4" w:space="0" w:color="auto"/>
              <w:bottom w:val="single" w:sz="4" w:space="0" w:color="auto"/>
            </w:tcBorders>
          </w:tcPr>
          <w:p w:rsidR="00A10DA8" w:rsidRDefault="00CA7E8A">
            <w:pPr>
              <w:spacing w:after="0" w:line="240" w:lineRule="auto"/>
              <w:ind w:left="-110" w:right="-143"/>
              <w:jc w:val="center"/>
              <w:rPr>
                <w:rFonts w:ascii="Times New Roman" w:eastAsia="Times New Roman" w:hAnsi="Times New Roman" w:cs="Times New Roman"/>
                <w:bCs/>
                <w:color w:val="000000"/>
                <w:sz w:val="20"/>
                <w:szCs w:val="24"/>
                <w:lang w:eastAsia="ru-RU"/>
              </w:rPr>
            </w:pPr>
            <w:r>
              <w:rPr>
                <w:rFonts w:ascii="Times New Roman" w:eastAsia="Times New Roman" w:hAnsi="Times New Roman" w:cs="Times New Roman"/>
                <w:bCs/>
                <w:color w:val="000000"/>
                <w:sz w:val="20"/>
                <w:szCs w:val="24"/>
                <w:lang w:eastAsia="ru-RU"/>
              </w:rPr>
              <w:t>%</w:t>
            </w:r>
          </w:p>
        </w:tc>
        <w:tc>
          <w:tcPr>
            <w:tcW w:w="1029"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93,5</w:t>
            </w:r>
          </w:p>
        </w:tc>
        <w:tc>
          <w:tcPr>
            <w:tcW w:w="1028"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93,9</w:t>
            </w:r>
          </w:p>
        </w:tc>
        <w:tc>
          <w:tcPr>
            <w:tcW w:w="1029"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91,7</w:t>
            </w:r>
          </w:p>
        </w:tc>
        <w:tc>
          <w:tcPr>
            <w:tcW w:w="950"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-2,2</w:t>
            </w:r>
          </w:p>
        </w:tc>
      </w:tr>
      <w:tr w:rsidR="00A10DA8">
        <w:trPr>
          <w:cantSplit/>
          <w:jc w:val="center"/>
        </w:trPr>
        <w:tc>
          <w:tcPr>
            <w:tcW w:w="4673" w:type="dxa"/>
            <w:tcBorders>
              <w:top w:val="single" w:sz="4" w:space="0" w:color="auto"/>
              <w:left w:val="single" w:sz="4" w:space="0" w:color="auto"/>
              <w:bottom w:val="single" w:sz="4" w:space="0" w:color="auto"/>
            </w:tcBorders>
            <w:vAlign w:val="center"/>
          </w:tcPr>
          <w:p w:rsidR="00A10DA8" w:rsidRDefault="00CA7E8A">
            <w:pPr>
              <w:tabs>
                <w:tab w:val="left" w:pos="9356"/>
              </w:tabs>
              <w:spacing w:after="0" w:line="240" w:lineRule="auto"/>
              <w:ind w:left="28"/>
              <w:jc w:val="both"/>
              <w:rPr>
                <w:rFonts w:ascii="Times New Roman" w:hAnsi="Times New Roman" w:cs="Times New Roman"/>
                <w:color w:val="000000"/>
                <w:sz w:val="20"/>
                <w:szCs w:val="24"/>
              </w:rPr>
            </w:pPr>
            <w:r>
              <w:rPr>
                <w:rFonts w:ascii="Times New Roman" w:hAnsi="Times New Roman" w:cs="Times New Roman"/>
                <w:color w:val="000000"/>
                <w:sz w:val="20"/>
                <w:szCs w:val="24"/>
              </w:rPr>
              <w:t>Уровень сбора денежных средств за оказанные услуги по передаче электроэнергии</w:t>
            </w:r>
          </w:p>
        </w:tc>
        <w:tc>
          <w:tcPr>
            <w:tcW w:w="823" w:type="dxa"/>
            <w:tcBorders>
              <w:top w:val="single" w:sz="4" w:space="0" w:color="auto"/>
              <w:left w:val="single" w:sz="4" w:space="0" w:color="auto"/>
              <w:bottom w:val="single" w:sz="4" w:space="0" w:color="auto"/>
            </w:tcBorders>
          </w:tcPr>
          <w:p w:rsidR="00A10DA8" w:rsidRDefault="00CA7E8A">
            <w:pPr>
              <w:spacing w:after="0" w:line="240" w:lineRule="auto"/>
              <w:ind w:left="-110" w:right="-143"/>
              <w:jc w:val="center"/>
              <w:rPr>
                <w:rFonts w:ascii="Times New Roman" w:eastAsia="Times New Roman" w:hAnsi="Times New Roman" w:cs="Times New Roman"/>
                <w:bCs/>
                <w:color w:val="000000"/>
                <w:sz w:val="20"/>
                <w:szCs w:val="24"/>
                <w:lang w:eastAsia="ru-RU"/>
              </w:rPr>
            </w:pPr>
            <w:r>
              <w:rPr>
                <w:rFonts w:ascii="Times New Roman" w:eastAsia="Times New Roman" w:hAnsi="Times New Roman" w:cs="Times New Roman"/>
                <w:bCs/>
                <w:color w:val="000000"/>
                <w:sz w:val="20"/>
                <w:szCs w:val="24"/>
                <w:lang w:eastAsia="ru-RU"/>
              </w:rPr>
              <w:t>%</w:t>
            </w:r>
          </w:p>
        </w:tc>
        <w:tc>
          <w:tcPr>
            <w:tcW w:w="1029"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0</w:t>
            </w:r>
          </w:p>
        </w:tc>
        <w:tc>
          <w:tcPr>
            <w:tcW w:w="1028"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100</w:t>
            </w:r>
          </w:p>
        </w:tc>
        <w:tc>
          <w:tcPr>
            <w:tcW w:w="1029"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rPr>
              <w:t>100</w:t>
            </w:r>
          </w:p>
        </w:tc>
        <w:tc>
          <w:tcPr>
            <w:tcW w:w="950" w:type="dxa"/>
            <w:tcBorders>
              <w:top w:val="single" w:sz="4" w:space="0" w:color="auto"/>
              <w:left w:val="single" w:sz="4" w:space="0" w:color="auto"/>
              <w:bottom w:val="single" w:sz="4" w:space="0" w:color="auto"/>
            </w:tcBorders>
            <w:vAlign w:val="center"/>
          </w:tcPr>
          <w:p w:rsidR="00A10DA8" w:rsidRDefault="00CA7E8A">
            <w:pPr>
              <w:jc w:val="center"/>
              <w:rPr>
                <w:rFonts w:ascii="Times New Roman" w:hAnsi="Times New Roman" w:cs="Times New Roman"/>
                <w:color w:val="000000"/>
                <w:sz w:val="20"/>
                <w:szCs w:val="24"/>
              </w:rPr>
            </w:pPr>
            <w:r>
              <w:rPr>
                <w:rFonts w:ascii="Times New Roman" w:hAnsi="Times New Roman" w:cs="Times New Roman"/>
                <w:color w:val="000000"/>
                <w:sz w:val="20"/>
                <w:szCs w:val="20"/>
                <w:lang w:val="en-US"/>
              </w:rPr>
              <w:t>0</w:t>
            </w:r>
          </w:p>
        </w:tc>
      </w:tr>
      <w:bookmarkEnd w:id="0"/>
      <w:tr w:rsidR="00DE62FA">
        <w:trPr>
          <w:cantSplit/>
          <w:trHeight w:val="489"/>
          <w:jc w:val="center"/>
        </w:trPr>
        <w:tc>
          <w:tcPr>
            <w:tcW w:w="4673" w:type="dxa"/>
            <w:tcBorders>
              <w:top w:val="single" w:sz="4" w:space="0" w:color="auto"/>
              <w:left w:val="single" w:sz="4" w:space="0" w:color="auto"/>
              <w:bottom w:val="single" w:sz="4" w:space="0" w:color="auto"/>
            </w:tcBorders>
            <w:vAlign w:val="center"/>
          </w:tcPr>
          <w:p w:rsidR="00DE62FA" w:rsidRDefault="00DE62FA" w:rsidP="00DE62FA">
            <w:pPr>
              <w:tabs>
                <w:tab w:val="left" w:pos="9356"/>
              </w:tabs>
              <w:spacing w:after="0" w:line="240" w:lineRule="auto"/>
              <w:ind w:left="28"/>
              <w:jc w:val="both"/>
              <w:rPr>
                <w:rFonts w:ascii="Times New Roman" w:hAnsi="Times New Roman" w:cs="Times New Roman"/>
                <w:color w:val="000000"/>
                <w:sz w:val="20"/>
                <w:szCs w:val="24"/>
              </w:rPr>
            </w:pPr>
            <w:r>
              <w:rPr>
                <w:rFonts w:ascii="Times New Roman" w:hAnsi="Times New Roman" w:cs="Times New Roman"/>
                <w:color w:val="000000"/>
                <w:sz w:val="20"/>
                <w:szCs w:val="24"/>
              </w:rPr>
              <w:t>Уровень расчетов с поставщиками электрической энергии</w:t>
            </w:r>
          </w:p>
        </w:tc>
        <w:tc>
          <w:tcPr>
            <w:tcW w:w="823" w:type="dxa"/>
            <w:tcBorders>
              <w:top w:val="single" w:sz="4" w:space="0" w:color="auto"/>
              <w:left w:val="single" w:sz="4" w:space="0" w:color="auto"/>
              <w:bottom w:val="single" w:sz="4" w:space="0" w:color="auto"/>
            </w:tcBorders>
          </w:tcPr>
          <w:p w:rsidR="00DE62FA" w:rsidRDefault="00DE62FA" w:rsidP="00DE62FA">
            <w:pPr>
              <w:spacing w:after="0" w:line="240" w:lineRule="auto"/>
              <w:ind w:left="-110" w:right="-143"/>
              <w:jc w:val="center"/>
              <w:rPr>
                <w:rFonts w:ascii="Times New Roman" w:eastAsia="Times New Roman" w:hAnsi="Times New Roman" w:cs="Times New Roman"/>
                <w:bCs/>
                <w:color w:val="000000"/>
                <w:sz w:val="20"/>
                <w:szCs w:val="24"/>
                <w:lang w:eastAsia="ru-RU"/>
              </w:rPr>
            </w:pPr>
            <w:r>
              <w:rPr>
                <w:rFonts w:ascii="Times New Roman" w:eastAsia="Times New Roman" w:hAnsi="Times New Roman" w:cs="Times New Roman"/>
                <w:bCs/>
                <w:color w:val="000000"/>
                <w:sz w:val="20"/>
                <w:szCs w:val="24"/>
                <w:lang w:eastAsia="ru-RU"/>
              </w:rPr>
              <w:t>%</w:t>
            </w:r>
          </w:p>
        </w:tc>
        <w:tc>
          <w:tcPr>
            <w:tcW w:w="1029" w:type="dxa"/>
            <w:tcBorders>
              <w:top w:val="single" w:sz="4" w:space="0" w:color="auto"/>
              <w:left w:val="single" w:sz="4" w:space="0" w:color="auto"/>
              <w:bottom w:val="single" w:sz="4" w:space="0" w:color="auto"/>
            </w:tcBorders>
            <w:vAlign w:val="center"/>
          </w:tcPr>
          <w:p w:rsidR="00DE62FA" w:rsidRDefault="00DE62FA" w:rsidP="00DE62FA">
            <w:pPr>
              <w:jc w:val="center"/>
              <w:rPr>
                <w:rFonts w:ascii="Times New Roman" w:hAnsi="Times New Roman" w:cs="Times New Roman"/>
                <w:color w:val="000000"/>
                <w:sz w:val="20"/>
                <w:szCs w:val="24"/>
              </w:rPr>
            </w:pPr>
            <w:r>
              <w:rPr>
                <w:rFonts w:ascii="Times New Roman" w:hAnsi="Times New Roman" w:cs="Times New Roman"/>
                <w:color w:val="000000"/>
                <w:sz w:val="20"/>
                <w:szCs w:val="20"/>
              </w:rPr>
              <w:t>136,2</w:t>
            </w:r>
          </w:p>
        </w:tc>
        <w:tc>
          <w:tcPr>
            <w:tcW w:w="1028" w:type="dxa"/>
            <w:tcBorders>
              <w:top w:val="single" w:sz="4" w:space="0" w:color="auto"/>
              <w:left w:val="single" w:sz="4" w:space="0" w:color="auto"/>
              <w:bottom w:val="single" w:sz="4" w:space="0" w:color="auto"/>
            </w:tcBorders>
            <w:vAlign w:val="center"/>
          </w:tcPr>
          <w:p w:rsidR="00DE62FA" w:rsidRPr="00AE2BF8" w:rsidRDefault="00DE62FA" w:rsidP="00DE62FA">
            <w:pPr>
              <w:jc w:val="center"/>
              <w:rPr>
                <w:rFonts w:ascii="Times New Roman" w:hAnsi="Times New Roman" w:cs="Times New Roman"/>
                <w:color w:val="000000"/>
                <w:sz w:val="20"/>
                <w:szCs w:val="20"/>
              </w:rPr>
            </w:pPr>
            <w:r w:rsidRPr="00F605BF">
              <w:rPr>
                <w:rFonts w:ascii="Times New Roman" w:hAnsi="Times New Roman" w:cs="Times New Roman"/>
                <w:color w:val="000000"/>
                <w:sz w:val="20"/>
                <w:szCs w:val="20"/>
              </w:rPr>
              <w:t>96,</w:t>
            </w:r>
            <w:r>
              <w:rPr>
                <w:rFonts w:ascii="Times New Roman" w:hAnsi="Times New Roman" w:cs="Times New Roman"/>
                <w:color w:val="000000"/>
                <w:sz w:val="20"/>
                <w:szCs w:val="20"/>
              </w:rPr>
              <w:t>2</w:t>
            </w:r>
          </w:p>
        </w:tc>
        <w:tc>
          <w:tcPr>
            <w:tcW w:w="1029" w:type="dxa"/>
            <w:tcBorders>
              <w:top w:val="single" w:sz="4" w:space="0" w:color="auto"/>
              <w:left w:val="single" w:sz="4" w:space="0" w:color="auto"/>
              <w:bottom w:val="single" w:sz="4" w:space="0" w:color="auto"/>
            </w:tcBorders>
            <w:vAlign w:val="center"/>
          </w:tcPr>
          <w:p w:rsidR="00DE62FA" w:rsidRPr="00F605BF" w:rsidRDefault="00DE62FA" w:rsidP="00DE62FA">
            <w:pPr>
              <w:jc w:val="center"/>
              <w:rPr>
                <w:rFonts w:ascii="Times New Roman" w:hAnsi="Times New Roman" w:cs="Times New Roman"/>
                <w:color w:val="000000"/>
                <w:sz w:val="20"/>
                <w:szCs w:val="20"/>
              </w:rPr>
            </w:pPr>
            <w:r>
              <w:rPr>
                <w:rFonts w:ascii="Times New Roman" w:hAnsi="Times New Roman" w:cs="Times New Roman"/>
                <w:color w:val="000000"/>
                <w:sz w:val="20"/>
                <w:szCs w:val="20"/>
              </w:rPr>
              <w:t>93,6</w:t>
            </w:r>
          </w:p>
        </w:tc>
        <w:tc>
          <w:tcPr>
            <w:tcW w:w="950" w:type="dxa"/>
            <w:tcBorders>
              <w:top w:val="single" w:sz="4" w:space="0" w:color="auto"/>
              <w:left w:val="single" w:sz="4" w:space="0" w:color="auto"/>
              <w:bottom w:val="single" w:sz="4" w:space="0" w:color="auto"/>
            </w:tcBorders>
            <w:vAlign w:val="center"/>
          </w:tcPr>
          <w:p w:rsidR="00DE62FA" w:rsidRPr="00F605BF" w:rsidRDefault="00DE62FA" w:rsidP="00DE62FA">
            <w:pPr>
              <w:jc w:val="center"/>
              <w:rPr>
                <w:rFonts w:ascii="Times New Roman" w:hAnsi="Times New Roman" w:cs="Times New Roman"/>
                <w:color w:val="000000"/>
                <w:sz w:val="20"/>
                <w:szCs w:val="20"/>
              </w:rPr>
            </w:pPr>
            <w:r>
              <w:rPr>
                <w:rFonts w:ascii="Times New Roman" w:hAnsi="Times New Roman" w:cs="Times New Roman"/>
                <w:color w:val="000000"/>
                <w:sz w:val="20"/>
                <w:szCs w:val="20"/>
              </w:rPr>
              <w:t>-2,6</w:t>
            </w:r>
          </w:p>
        </w:tc>
      </w:tr>
      <w:tr w:rsidR="00E656AE">
        <w:trPr>
          <w:cantSplit/>
          <w:trHeight w:val="581"/>
          <w:jc w:val="center"/>
        </w:trPr>
        <w:tc>
          <w:tcPr>
            <w:tcW w:w="4673" w:type="dxa"/>
            <w:tcBorders>
              <w:top w:val="single" w:sz="4" w:space="0" w:color="auto"/>
              <w:left w:val="single" w:sz="4" w:space="0" w:color="auto"/>
            </w:tcBorders>
            <w:vAlign w:val="center"/>
          </w:tcPr>
          <w:p w:rsidR="00E656AE" w:rsidRDefault="00E656AE" w:rsidP="00E656AE">
            <w:pPr>
              <w:tabs>
                <w:tab w:val="left" w:pos="9356"/>
              </w:tabs>
              <w:spacing w:after="0" w:line="240" w:lineRule="auto"/>
              <w:ind w:left="28"/>
              <w:jc w:val="both"/>
              <w:rPr>
                <w:rFonts w:ascii="Times New Roman" w:hAnsi="Times New Roman" w:cs="Times New Roman"/>
                <w:color w:val="000000"/>
                <w:sz w:val="20"/>
                <w:szCs w:val="24"/>
              </w:rPr>
            </w:pPr>
            <w:r>
              <w:rPr>
                <w:rFonts w:ascii="Times New Roman" w:hAnsi="Times New Roman" w:cs="Times New Roman"/>
                <w:color w:val="000000"/>
                <w:sz w:val="20"/>
                <w:szCs w:val="24"/>
              </w:rPr>
              <w:t>Уровень расчетов с сетевыми организациями</w:t>
            </w:r>
          </w:p>
        </w:tc>
        <w:tc>
          <w:tcPr>
            <w:tcW w:w="823" w:type="dxa"/>
            <w:tcBorders>
              <w:top w:val="single" w:sz="4" w:space="0" w:color="auto"/>
              <w:left w:val="single" w:sz="4" w:space="0" w:color="auto"/>
            </w:tcBorders>
          </w:tcPr>
          <w:p w:rsidR="00E656AE" w:rsidRDefault="00E656AE" w:rsidP="00E656AE">
            <w:pPr>
              <w:spacing w:after="0" w:line="240" w:lineRule="auto"/>
              <w:ind w:left="-110" w:right="-143"/>
              <w:jc w:val="center"/>
              <w:rPr>
                <w:rFonts w:ascii="Times New Roman" w:eastAsia="Times New Roman" w:hAnsi="Times New Roman" w:cs="Times New Roman"/>
                <w:bCs/>
                <w:color w:val="000000"/>
                <w:sz w:val="20"/>
                <w:szCs w:val="24"/>
                <w:lang w:eastAsia="ru-RU"/>
              </w:rPr>
            </w:pPr>
            <w:r>
              <w:rPr>
                <w:rFonts w:ascii="Times New Roman" w:eastAsia="Times New Roman" w:hAnsi="Times New Roman" w:cs="Times New Roman"/>
                <w:bCs/>
                <w:color w:val="000000"/>
                <w:sz w:val="20"/>
                <w:szCs w:val="24"/>
                <w:lang w:eastAsia="ru-RU"/>
              </w:rPr>
              <w:t>%</w:t>
            </w:r>
          </w:p>
        </w:tc>
        <w:tc>
          <w:tcPr>
            <w:tcW w:w="1029" w:type="dxa"/>
            <w:tcBorders>
              <w:top w:val="single" w:sz="4" w:space="0" w:color="auto"/>
              <w:left w:val="single" w:sz="4" w:space="0" w:color="auto"/>
            </w:tcBorders>
            <w:vAlign w:val="center"/>
          </w:tcPr>
          <w:p w:rsidR="00E656AE" w:rsidRDefault="00E656AE" w:rsidP="00E656AE">
            <w:pPr>
              <w:jc w:val="center"/>
              <w:rPr>
                <w:rFonts w:ascii="Times New Roman" w:hAnsi="Times New Roman" w:cs="Times New Roman"/>
                <w:color w:val="000000"/>
                <w:sz w:val="20"/>
                <w:szCs w:val="24"/>
              </w:rPr>
            </w:pPr>
            <w:r>
              <w:rPr>
                <w:rFonts w:ascii="Times New Roman" w:hAnsi="Times New Roman" w:cs="Times New Roman"/>
                <w:color w:val="000000"/>
                <w:sz w:val="20"/>
                <w:szCs w:val="20"/>
              </w:rPr>
              <w:t>141,9</w:t>
            </w:r>
          </w:p>
        </w:tc>
        <w:tc>
          <w:tcPr>
            <w:tcW w:w="1028" w:type="dxa"/>
            <w:tcBorders>
              <w:top w:val="single" w:sz="4" w:space="0" w:color="auto"/>
              <w:left w:val="single" w:sz="4" w:space="0" w:color="auto"/>
            </w:tcBorders>
            <w:vAlign w:val="center"/>
          </w:tcPr>
          <w:p w:rsidR="00E656AE" w:rsidRPr="005006B2" w:rsidRDefault="00E656AE" w:rsidP="00E656AE">
            <w:pPr>
              <w:jc w:val="center"/>
              <w:rPr>
                <w:rFonts w:ascii="Times New Roman" w:hAnsi="Times New Roman" w:cs="Times New Roman"/>
                <w:color w:val="000000"/>
                <w:sz w:val="20"/>
                <w:szCs w:val="20"/>
              </w:rPr>
            </w:pPr>
            <w:r w:rsidRPr="00F605BF">
              <w:rPr>
                <w:rFonts w:ascii="Times New Roman" w:hAnsi="Times New Roman" w:cs="Times New Roman"/>
                <w:color w:val="000000"/>
                <w:sz w:val="20"/>
                <w:szCs w:val="20"/>
              </w:rPr>
              <w:t>9</w:t>
            </w:r>
            <w:r>
              <w:rPr>
                <w:rFonts w:ascii="Times New Roman" w:hAnsi="Times New Roman" w:cs="Times New Roman"/>
                <w:color w:val="000000"/>
                <w:sz w:val="20"/>
                <w:szCs w:val="20"/>
                <w:lang w:val="en-US"/>
              </w:rPr>
              <w:t>5</w:t>
            </w:r>
            <w:r w:rsidRPr="00F605BF">
              <w:rPr>
                <w:rFonts w:ascii="Times New Roman" w:hAnsi="Times New Roman" w:cs="Times New Roman"/>
                <w:color w:val="000000"/>
                <w:sz w:val="20"/>
                <w:szCs w:val="20"/>
              </w:rPr>
              <w:t>,</w:t>
            </w:r>
            <w:r>
              <w:rPr>
                <w:rFonts w:ascii="Times New Roman" w:hAnsi="Times New Roman" w:cs="Times New Roman"/>
                <w:color w:val="000000"/>
                <w:sz w:val="20"/>
                <w:szCs w:val="20"/>
                <w:lang w:val="en-US"/>
              </w:rPr>
              <w:t>4</w:t>
            </w:r>
          </w:p>
        </w:tc>
        <w:tc>
          <w:tcPr>
            <w:tcW w:w="1029" w:type="dxa"/>
            <w:tcBorders>
              <w:top w:val="single" w:sz="4" w:space="0" w:color="auto"/>
              <w:left w:val="single" w:sz="4" w:space="0" w:color="auto"/>
            </w:tcBorders>
            <w:vAlign w:val="center"/>
          </w:tcPr>
          <w:p w:rsidR="00E656AE" w:rsidRPr="00F605BF" w:rsidRDefault="00E656AE" w:rsidP="00E656AE">
            <w:pPr>
              <w:jc w:val="center"/>
              <w:rPr>
                <w:rFonts w:ascii="Times New Roman" w:hAnsi="Times New Roman" w:cs="Times New Roman"/>
                <w:color w:val="000000"/>
                <w:sz w:val="20"/>
                <w:szCs w:val="20"/>
              </w:rPr>
            </w:pPr>
            <w:r>
              <w:rPr>
                <w:rFonts w:ascii="Times New Roman" w:hAnsi="Times New Roman" w:cs="Times New Roman"/>
                <w:color w:val="000000"/>
                <w:sz w:val="20"/>
                <w:szCs w:val="20"/>
              </w:rPr>
              <w:t>97</w:t>
            </w:r>
            <w:r w:rsidRPr="00F605BF">
              <w:rPr>
                <w:rFonts w:ascii="Times New Roman" w:hAnsi="Times New Roman" w:cs="Times New Roman"/>
                <w:color w:val="000000"/>
                <w:sz w:val="20"/>
                <w:szCs w:val="20"/>
              </w:rPr>
              <w:t>,3</w:t>
            </w:r>
          </w:p>
        </w:tc>
        <w:tc>
          <w:tcPr>
            <w:tcW w:w="950" w:type="dxa"/>
            <w:tcBorders>
              <w:top w:val="single" w:sz="4" w:space="0" w:color="auto"/>
              <w:left w:val="single" w:sz="4" w:space="0" w:color="auto"/>
            </w:tcBorders>
            <w:vAlign w:val="center"/>
          </w:tcPr>
          <w:p w:rsidR="00E656AE" w:rsidRPr="00F605BF" w:rsidRDefault="00E656AE" w:rsidP="00E656AE">
            <w:pPr>
              <w:jc w:val="center"/>
              <w:rPr>
                <w:rFonts w:ascii="Times New Roman" w:hAnsi="Times New Roman" w:cs="Times New Roman"/>
                <w:color w:val="000000"/>
                <w:sz w:val="20"/>
                <w:szCs w:val="20"/>
              </w:rPr>
            </w:pPr>
            <w:r>
              <w:rPr>
                <w:rFonts w:ascii="Times New Roman" w:hAnsi="Times New Roman" w:cs="Times New Roman"/>
                <w:color w:val="000000"/>
                <w:sz w:val="20"/>
                <w:szCs w:val="20"/>
              </w:rPr>
              <w:t>1,9</w:t>
            </w:r>
          </w:p>
        </w:tc>
      </w:tr>
    </w:tbl>
    <w:p w:rsidR="00A10DA8" w:rsidRDefault="00A10DA8">
      <w:pPr>
        <w:pStyle w:val="2"/>
        <w:ind w:right="-143" w:firstLine="709"/>
        <w:rPr>
          <w:sz w:val="24"/>
        </w:rPr>
      </w:pPr>
    </w:p>
    <w:p w:rsidR="00A10DA8" w:rsidRDefault="00CA7E8A">
      <w:pPr>
        <w:pStyle w:val="1"/>
        <w:ind w:firstLine="709"/>
      </w:pPr>
      <w:bookmarkStart w:id="10" w:name="_Toc195780411"/>
      <w:r>
        <w:t>Ключевые показатели эффективности и функциональные ключевые показатели эффективности</w:t>
      </w:r>
      <w:bookmarkEnd w:id="10"/>
    </w:p>
    <w:p w:rsidR="00A10DA8" w:rsidRDefault="00A10DA8">
      <w:pPr>
        <w:spacing w:after="0" w:line="240" w:lineRule="auto"/>
        <w:jc w:val="both"/>
        <w:rPr>
          <w:rFonts w:ascii="Times New Roman" w:hAnsi="Times New Roman" w:cs="Times New Roman"/>
          <w:sz w:val="24"/>
          <w:lang w:eastAsia="ru-RU"/>
        </w:rPr>
      </w:pP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Достижение приоритетных целей развития Общества оценивается применяемой в Обществе системой ключевых показателей эффективности и функциональных ключевых показателей эффективности (далее - КПЭ и ФКПЭ соответственно).</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С 2023 года формирование системы ключевых показателей эффективности группы компаний «Россети» осуществляется в соответствии с распоряжением Правительства Российской Федерации от 28.12.2020 № 3579-р (далее – распоряжение № 3579-р).</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В соответствии с распоряжением № 3579-р система ключевых показателей эффективности разделена на две группы показателей - ключевые показатели эффективности (далее – КПЭ) и функциональные ключевые показатели эффективности (далее – ФКПЭ). При этом, КПЭ – это показатели, связанные со стратегическими документами Общества, на основании которых оценивается эффективность деятельности всего руководящего состава Общества (руководитель, заместители руководителя, главный бухгалтер), ФКПЭ – это индивидуальные показатели, устанавливаемые для должностных лиц Общества персонально с учетом специфики курируемых ими направлений деятельности Общества.</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lastRenderedPageBreak/>
        <w:t xml:space="preserve">Применяемая в Обществе система КПЭ и ФКПЭ взаимоувязана с размером переменной части вознаграждения менеджмента (50 % стимулирующих выплат за достижение КПЭ, 50 % стимулирующих выплат за достижение ФКПЭ) – для каждого из показателей установлен удельный вес в объеме выплачиваемых премий, годовое премирование производится при условии выполнения соответствующих показателей. </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В 2024 году относительно 2023 года в отношении КПЭ и ФКПЭ произведены следующие изменения</w:t>
      </w:r>
      <w:r>
        <w:rPr>
          <w:rStyle w:val="afe"/>
          <w:rFonts w:ascii="Times New Roman" w:hAnsi="Times New Roman" w:cs="Times New Roman"/>
          <w:sz w:val="24"/>
          <w:lang w:eastAsia="ru-RU"/>
        </w:rPr>
        <w:footnoteReference w:id="2"/>
      </w:r>
      <w:r>
        <w:rPr>
          <w:rFonts w:ascii="Times New Roman" w:hAnsi="Times New Roman" w:cs="Times New Roman"/>
          <w:sz w:val="24"/>
          <w:lang w:eastAsia="ru-RU"/>
        </w:rPr>
        <w:t>:</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1. ФКПЭ «Чистое привлечение кредитов и облигационных займов для покрытия дефицита источников финансирования инвестиционной программы» заменен на ФКПЭ «Долг/EBITDA»;</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2. ФКПЭ «Выполнение Комплексного плана по обеспечению безопасности» заменен на ФКПЭ «Сохранность имущества организации»;</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3. ФКПЭ «Отсутствие оговорки и/или модифицированного мнения Аудитора, влияющих на достоверность данных годовой бухгалтерской (финансовой) отчетности» заменен на ФКПЭ «Количество замечаний (ошибок) к ведению бухгалтерского учета в организации, выявленных аудитором и ревизионной комиссией при проведении проверок по итогам отчетного периода»;</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4. Добавлен раздел «Показатели депремирования», включающий показатели депремирования «Предельный объем разногласий по объему потерь на конец отчетного периода (года)», «Нарушение порядка совершения сделок», Своевременное выполнение планов корректирующих мероприятий (ПКМ)»;</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5. Добавлен ФКПЭ «Уровень укомплектованности персоналом»;</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6. Добавлен ФКПЭ «Эффективность перехода на использование отечественной радиоэлектронной продукции»;</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7. Добавлен ФКПЭ «Эффективность реализации дополнительных услуг».</w:t>
      </w:r>
    </w:p>
    <w:p w:rsidR="00A10DA8" w:rsidRDefault="00CA7E8A">
      <w:pPr>
        <w:spacing w:after="0" w:line="240" w:lineRule="auto"/>
        <w:ind w:firstLine="709"/>
        <w:jc w:val="both"/>
        <w:rPr>
          <w:rFonts w:ascii="Times New Roman" w:hAnsi="Times New Roman" w:cs="Times New Roman"/>
          <w:sz w:val="24"/>
          <w:lang w:eastAsia="ru-RU"/>
        </w:rPr>
      </w:pPr>
      <w:r>
        <w:rPr>
          <w:rFonts w:ascii="Times New Roman" w:hAnsi="Times New Roman" w:cs="Times New Roman"/>
          <w:sz w:val="24"/>
          <w:lang w:eastAsia="ru-RU"/>
        </w:rPr>
        <w:t>КПЭ и ФКПЭ Общества и их целевые значения на 2024-2026 гг. утверждены решением Совета директоров Общества от 22.11.2024 (протокол от 22.11.2024 № 348), в соответствии с пунктом 15.1 статьи 15 Устава Общества.</w:t>
      </w:r>
    </w:p>
    <w:p w:rsidR="00A10DA8" w:rsidRDefault="00CA7E8A">
      <w:pPr>
        <w:spacing w:after="160" w:line="259" w:lineRule="auto"/>
        <w:rPr>
          <w:rFonts w:ascii="Times New Roman" w:hAnsi="Times New Roman" w:cs="Times New Roman"/>
          <w:sz w:val="24"/>
          <w:lang w:eastAsia="ru-RU"/>
        </w:rPr>
      </w:pPr>
      <w:r>
        <w:rPr>
          <w:rFonts w:ascii="Times New Roman" w:hAnsi="Times New Roman" w:cs="Times New Roman"/>
          <w:sz w:val="24"/>
          <w:lang w:eastAsia="ru-RU"/>
        </w:rPr>
        <w:br w:type="page" w:clear="all"/>
      </w:r>
    </w:p>
    <w:p w:rsidR="00A10DA8" w:rsidRDefault="00A10DA8">
      <w:pPr>
        <w:spacing w:after="160" w:line="259" w:lineRule="auto"/>
        <w:rPr>
          <w:rFonts w:ascii="Times New Roman" w:hAnsi="Times New Roman" w:cs="Times New Roman"/>
          <w:sz w:val="24"/>
          <w:lang w:eastAsia="ru-RU"/>
        </w:rPr>
        <w:sectPr w:rsidR="00A10DA8">
          <w:headerReference w:type="default" r:id="rId14"/>
          <w:footnotePr>
            <w:numRestart w:val="eachPage"/>
          </w:footnotePr>
          <w:pgSz w:w="11906" w:h="16838"/>
          <w:pgMar w:top="1134" w:right="851" w:bottom="1134" w:left="1701" w:header="709" w:footer="709" w:gutter="0"/>
          <w:cols w:space="708"/>
          <w:titlePg/>
          <w:docGrid w:linePitch="360"/>
        </w:sectPr>
      </w:pPr>
    </w:p>
    <w:tbl>
      <w:tblPr>
        <w:tblStyle w:val="afa"/>
        <w:tblW w:w="15900" w:type="dxa"/>
        <w:tblInd w:w="-572" w:type="dxa"/>
        <w:tblLayout w:type="fixed"/>
        <w:tblLook w:val="04A0" w:firstRow="1" w:lastRow="0" w:firstColumn="1" w:lastColumn="0" w:noHBand="0" w:noVBand="1"/>
      </w:tblPr>
      <w:tblGrid>
        <w:gridCol w:w="1384"/>
        <w:gridCol w:w="3117"/>
        <w:gridCol w:w="1136"/>
        <w:gridCol w:w="776"/>
        <w:gridCol w:w="1235"/>
        <w:gridCol w:w="1276"/>
        <w:gridCol w:w="1276"/>
        <w:gridCol w:w="1390"/>
        <w:gridCol w:w="1877"/>
        <w:gridCol w:w="1276"/>
        <w:gridCol w:w="1133"/>
        <w:gridCol w:w="24"/>
      </w:tblGrid>
      <w:tr w:rsidR="00A10DA8" w:rsidRPr="00107880">
        <w:trPr>
          <w:gridAfter w:val="1"/>
          <w:wAfter w:w="24" w:type="dxa"/>
          <w:trHeight w:val="1683"/>
          <w:tblHeader/>
        </w:trPr>
        <w:tc>
          <w:tcPr>
            <w:tcW w:w="1384"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lastRenderedPageBreak/>
              <w:t>Наименование показателя</w:t>
            </w:r>
          </w:p>
        </w:tc>
        <w:tc>
          <w:tcPr>
            <w:tcW w:w="3117"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Порядок расчета</w:t>
            </w:r>
          </w:p>
        </w:tc>
        <w:tc>
          <w:tcPr>
            <w:tcW w:w="113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Вес в системе вознаграждения//процент депремирования на 2024 год, %</w:t>
            </w:r>
          </w:p>
        </w:tc>
        <w:tc>
          <w:tcPr>
            <w:tcW w:w="7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Ед. изм.</w:t>
            </w:r>
          </w:p>
        </w:tc>
        <w:tc>
          <w:tcPr>
            <w:tcW w:w="1235"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Достигнутое значение за 2023 год</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Целевое//пороговое значение на 2024 год</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Достигнутое значение за 2024 год</w:t>
            </w:r>
            <w:r w:rsidRPr="00107880">
              <w:rPr>
                <w:rStyle w:val="afe"/>
              </w:rPr>
              <w:footnoteReference w:id="3"/>
            </w:r>
          </w:p>
        </w:tc>
        <w:tc>
          <w:tcPr>
            <w:tcW w:w="1390"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Оценка достижения в 2024 году (%, достигнут/не достигнут)</w:t>
            </w:r>
            <w:r w:rsidRPr="00107880">
              <w:rPr>
                <w:rStyle w:val="afe"/>
                <w:b/>
              </w:rPr>
              <w:footnoteReference w:id="4"/>
            </w:r>
          </w:p>
        </w:tc>
        <w:tc>
          <w:tcPr>
            <w:tcW w:w="1877"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Причины недостижения</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 значение на 2025 год</w:t>
            </w:r>
            <w:r w:rsidRPr="00107880">
              <w:rPr>
                <w:rStyle w:val="afe"/>
                <w:b/>
              </w:rPr>
              <w:footnoteReference w:id="5"/>
            </w:r>
          </w:p>
        </w:tc>
        <w:tc>
          <w:tcPr>
            <w:tcW w:w="1133"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 значение на 2026 год</w:t>
            </w:r>
          </w:p>
        </w:tc>
      </w:tr>
      <w:tr w:rsidR="00A10DA8" w:rsidRPr="00107880">
        <w:trPr>
          <w:trHeight w:val="497"/>
        </w:trPr>
        <w:tc>
          <w:tcPr>
            <w:tcW w:w="15900" w:type="dxa"/>
            <w:gridSpan w:val="12"/>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color w:val="0070C0"/>
              </w:rPr>
            </w:pPr>
            <w:r w:rsidRPr="00107880">
              <w:rPr>
                <w:b/>
                <w:color w:val="0070C0"/>
              </w:rPr>
              <w:t>ФИНАНСОВО-ЭКОНОМИЧЕСКИЕ КЛЮЧЕВЫЕ ПОКАЗАТЕЛИ ЭФФЕКТИВНОСТИ</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ROIC</w:t>
            </w:r>
          </w:p>
          <w:p w:rsidR="00A10DA8" w:rsidRPr="00107880" w:rsidRDefault="00CA7E8A">
            <w:pPr>
              <w:contextualSpacing/>
              <w:jc w:val="both"/>
            </w:pPr>
            <w:r w:rsidRPr="00107880">
              <w:t>(Рентабельность инвестированного капитала)</w:t>
            </w:r>
            <w:r w:rsidR="008729A7">
              <w:rPr>
                <w:rStyle w:val="afe"/>
              </w:rPr>
              <w:footnoteReference w:id="6"/>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Отношение операционной прибыли, скорректированной на размер обесценения/(восстановления обесценения) основных средств, выручки от оказания услуг по технологическому присоединению и начисления/(восстановление) резерва под ожидаемые кредитные убытки, к сумме средних величин капитала и долгосрочных кредитов и займов</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ind w:right="19"/>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-840 222</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- 456 338</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-809 534</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0%, не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57741F">
            <w:pPr>
              <w:spacing w:after="0" w:line="240" w:lineRule="auto"/>
            </w:pPr>
            <w:r w:rsidRPr="0057741F">
              <w:t>Снижение маржинального дохода от продажи электроэнергии на 464 283 тыс. руб. вследствие увеличения фактических затрат на приобретение электроэнергии на ОРЭМ.</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- 808 360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- 1 007 914</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Рентабельность операционно</w:t>
            </w:r>
            <w:r w:rsidRPr="00107880">
              <w:lastRenderedPageBreak/>
              <w:t>й деятельности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lastRenderedPageBreak/>
              <w:t xml:space="preserve">Отношение операционной прибыли, скорректированной на размер обесценения/(восстановления </w:t>
            </w:r>
            <w:r w:rsidRPr="00107880">
              <w:rPr>
                <w:rFonts w:eastAsiaTheme="minorEastAsia"/>
              </w:rPr>
              <w:lastRenderedPageBreak/>
              <w:t>обесценения) основных средств и выручки от оказания услуг по технологическому присоединению, к выручке без учета выручки от оказания услуг по технологическому присоединению</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20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-10,7</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-12,4</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-15,0</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79%, не достигнут</w:t>
            </w:r>
          </w:p>
        </w:tc>
        <w:tc>
          <w:tcPr>
            <w:tcW w:w="1877" w:type="dxa"/>
            <w:tcBorders>
              <w:top w:val="single" w:sz="4" w:space="0" w:color="auto"/>
              <w:left w:val="single" w:sz="4" w:space="0" w:color="auto"/>
              <w:bottom w:val="single" w:sz="4" w:space="0" w:color="auto"/>
              <w:right w:val="single" w:sz="4" w:space="0" w:color="auto"/>
            </w:tcBorders>
            <w:vAlign w:val="center"/>
          </w:tcPr>
          <w:p w:rsidR="00A10DA8" w:rsidRPr="00107880" w:rsidRDefault="0057741F" w:rsidP="0057741F">
            <w:pPr>
              <w:spacing w:after="0" w:line="240" w:lineRule="auto"/>
            </w:pPr>
            <w:r w:rsidRPr="0057741F">
              <w:t xml:space="preserve">Снижение маржинального дохода от продажи электроэнергии на </w:t>
            </w:r>
            <w:r w:rsidRPr="0057741F">
              <w:lastRenderedPageBreak/>
              <w:t>464 283 тыс. руб. вследствие увеличения фактических затрат на приобретение электроэнергии на ОРЭМ.</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lastRenderedPageBreak/>
              <w:t>-14,8</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t>-15,6</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Чистая прибыль без обесценения и ТП</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Прибыль/(убыток), скорректированная на размер обесценения/(восстановления обесценения) основных средств и выручки от оказания услуг по технологическому присоединению (с учетом соответствующего налога на прибыль)</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20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тыс. руб.</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-856 803</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-451 285</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-2 401 195</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0%, не достигнут</w:t>
            </w:r>
          </w:p>
        </w:tc>
        <w:tc>
          <w:tcPr>
            <w:tcW w:w="1877" w:type="dxa"/>
            <w:tcBorders>
              <w:top w:val="single" w:sz="4" w:space="0" w:color="auto"/>
              <w:left w:val="single" w:sz="4" w:space="0" w:color="auto"/>
              <w:bottom w:val="single" w:sz="4" w:space="0" w:color="auto"/>
              <w:right w:val="single" w:sz="4" w:space="0" w:color="auto"/>
            </w:tcBorders>
          </w:tcPr>
          <w:p w:rsidR="0057741F" w:rsidRDefault="0057741F" w:rsidP="0057741F">
            <w:pPr>
              <w:spacing w:after="0" w:line="240" w:lineRule="auto"/>
            </w:pPr>
            <w:r>
              <w:t>1) Снижение маржинального дохода от продажи электроэнергии на 464 283 тыс. руб. вследствие увеличения фактических затрат на приобретение электроэнергии на ОРЭМ.</w:t>
            </w:r>
          </w:p>
          <w:p w:rsidR="0057741F" w:rsidRDefault="0057741F" w:rsidP="0057741F">
            <w:pPr>
              <w:spacing w:after="0" w:line="240" w:lineRule="auto"/>
            </w:pPr>
          </w:p>
          <w:p w:rsidR="00A10DA8" w:rsidRPr="00107880" w:rsidRDefault="0057741F" w:rsidP="0057741F">
            <w:pPr>
              <w:spacing w:after="0" w:line="240" w:lineRule="auto"/>
            </w:pPr>
            <w:r>
              <w:t xml:space="preserve">2) Отклонение в сумме расчетного налога на прибыль на 1 661 310 тыс. руб. вследствие получения убытка по факту отчетного года при </w:t>
            </w:r>
            <w:r>
              <w:lastRenderedPageBreak/>
              <w:t>запланированной чистой прибыли.</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lastRenderedPageBreak/>
              <w:t>-1 478 712</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-1 790 864</w:t>
            </w:r>
          </w:p>
        </w:tc>
      </w:tr>
      <w:tr w:rsidR="00A10DA8" w:rsidRPr="00107880">
        <w:trPr>
          <w:trHeight w:val="501"/>
        </w:trPr>
        <w:tc>
          <w:tcPr>
            <w:tcW w:w="15900" w:type="dxa"/>
            <w:gridSpan w:val="12"/>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color w:val="0070C0"/>
              </w:rPr>
            </w:pPr>
            <w:r w:rsidRPr="00107880">
              <w:rPr>
                <w:b/>
                <w:color w:val="0070C0"/>
              </w:rPr>
              <w:t>СПЕЦИАЛИЗИРОВАННЫЕ ОТРАСЛЕВЫЕ КЛЮЧЕВЫЕ ПОКАЗАТЕЛИ ЭФФЕКТИВНОСТИ</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Уровень потерь электроэнергии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Отношение объема потерь электроэнергии в сетях Общества (рассчитывается как разница отпуска электроэнергии в сеть и отпущенной электроэнергии из сети и расхода на хозяйственные нужды), увеличенного на величину разногласий за предшествующие периоды, урегулированную не в пользу Общества, к отпуску электроэнергии в сеть за отчетный период</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15</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35,26</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33,18</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35,24</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93%, не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 Рост нагрузочных потерь электроэнергии в связи с существенным приростом потребления электроэнергии;</w:t>
            </w:r>
          </w:p>
          <w:p w:rsidR="00A10DA8" w:rsidRPr="00107880" w:rsidRDefault="00CA7E8A">
            <w:pPr>
              <w:spacing w:after="0" w:line="240" w:lineRule="auto"/>
            </w:pPr>
            <w:r w:rsidRPr="00107880">
              <w:t>- Неблагоприятные температурные условия;</w:t>
            </w:r>
          </w:p>
          <w:p w:rsidR="00A10DA8" w:rsidRPr="00107880" w:rsidRDefault="00CA7E8A">
            <w:pPr>
              <w:spacing w:after="0" w:line="240" w:lineRule="auto"/>
            </w:pPr>
            <w:r w:rsidRPr="00107880">
              <w:t>- Наличие безучетного потребления;</w:t>
            </w:r>
          </w:p>
          <w:p w:rsidR="00A10DA8" w:rsidRPr="00107880" w:rsidRDefault="00CA7E8A">
            <w:pPr>
              <w:spacing w:after="0" w:line="240" w:lineRule="auto"/>
            </w:pPr>
            <w:r w:rsidRPr="00107880">
              <w:t xml:space="preserve">- Неисполнение организационных мероприятий по снижению потерь; </w:t>
            </w:r>
          </w:p>
          <w:p w:rsidR="00A10DA8" w:rsidRPr="00107880" w:rsidRDefault="00CA7E8A">
            <w:pPr>
              <w:spacing w:after="0" w:line="240" w:lineRule="auto"/>
            </w:pPr>
            <w:r w:rsidRPr="00107880">
              <w:t xml:space="preserve">- Смещение сроков реализации технических мероприятий ПСП.  </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31,95</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pPr>
            <w:r w:rsidRPr="00107880">
              <w:t>31,86</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 xml:space="preserve">Готовность к работе в </w:t>
            </w:r>
            <w:r w:rsidRPr="00107880">
              <w:lastRenderedPageBreak/>
              <w:t>отопительный сезон</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lastRenderedPageBreak/>
              <w:t xml:space="preserve">Показатель, оценивающий готовность Общества к работе в отопительный сезон на основании </w:t>
            </w:r>
            <w:r w:rsidRPr="00107880">
              <w:rPr>
                <w:rFonts w:eastAsiaTheme="minorEastAsia"/>
              </w:rPr>
              <w:lastRenderedPageBreak/>
              <w:t>ежемесячного мониторинга, проводимого Минэнерго России</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20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шт.</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Выполнение графика ввода объектов в эксплуатацию</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Отношение суммарного фактического объема вводов основных средств в эксплуатацию в отчетном году, определяемый на основании отчета об исполнении инвестиционной программы Общества (в денежном выражении, на основании даты подписания Акта приемки законченного строительством объекта приемочной комиссией) к плановому в соответствии с утвержденной инвестиционной программой и графиком реализации</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15</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73,4</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93,5</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99,9</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106,8%,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spacing w:after="0" w:line="240" w:lineRule="auto"/>
              <w:jc w:val="center"/>
            </w:pPr>
            <w:r w:rsidRPr="00107880">
              <w:t>95,0</w:t>
            </w:r>
          </w:p>
        </w:tc>
        <w:tc>
          <w:tcPr>
            <w:tcW w:w="1133"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spacing w:after="0" w:line="240" w:lineRule="auto"/>
              <w:jc w:val="center"/>
            </w:pPr>
            <w:r w:rsidRPr="00107880">
              <w:t>95,0</w:t>
            </w:r>
          </w:p>
        </w:tc>
      </w:tr>
      <w:tr w:rsidR="00A10DA8" w:rsidRPr="00107880">
        <w:trPr>
          <w:trHeight w:val="518"/>
        </w:trPr>
        <w:tc>
          <w:tcPr>
            <w:tcW w:w="15900" w:type="dxa"/>
            <w:gridSpan w:val="12"/>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color w:val="0070C0"/>
              </w:rPr>
            </w:pPr>
            <w:r w:rsidRPr="00107880">
              <w:rPr>
                <w:b/>
                <w:color w:val="0070C0"/>
              </w:rPr>
              <w:t>ПОКАЗАТЕЛИ ДЕПРЕМИРОВАНИЯ</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bCs/>
              </w:rPr>
              <w:t xml:space="preserve">Предельный объем разногласий по объему потерь на конец </w:t>
            </w:r>
            <w:r w:rsidRPr="00107880">
              <w:rPr>
                <w:rFonts w:eastAsiaTheme="minorEastAsia"/>
                <w:bCs/>
              </w:rPr>
              <w:lastRenderedPageBreak/>
              <w:t>отчетного периода (года)</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bCs/>
              </w:rPr>
            </w:pPr>
            <w:r w:rsidRPr="00107880">
              <w:rPr>
                <w:rFonts w:eastAsiaTheme="minorEastAsia"/>
                <w:bCs/>
              </w:rPr>
              <w:lastRenderedPageBreak/>
              <w:t xml:space="preserve">Показатель депремирования, размер которого определяется расчетным путем как доля разногласий на конец отчетного периода (года) (не урегулированных по состоянию </w:t>
            </w:r>
            <w:r w:rsidRPr="00107880">
              <w:rPr>
                <w:rFonts w:eastAsiaTheme="minorEastAsia"/>
                <w:bCs/>
              </w:rPr>
              <w:lastRenderedPageBreak/>
              <w:t>на конец второго месяца года, следующего за отчетным), не охваченных исковой работой, к объему потерь электроэнергии в сетях Общества</w:t>
            </w:r>
          </w:p>
          <w:p w:rsidR="00A10DA8" w:rsidRPr="00107880" w:rsidRDefault="00A10DA8">
            <w:pPr>
              <w:contextualSpacing/>
              <w:jc w:val="both"/>
            </w:pP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-10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3,50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3,50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3,50</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bCs/>
              </w:rPr>
              <w:t>Нарушение порядка совершения сделок</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bCs/>
              </w:rPr>
            </w:pPr>
            <w:r w:rsidRPr="00107880">
              <w:rPr>
                <w:rFonts w:eastAsiaTheme="minorEastAsia"/>
                <w:bCs/>
              </w:rPr>
              <w:t>Показатель, оценивающий отсутствие нарушений в совершении крупных сделок, сделок, в совершении которых имеется заинтересованность, а также сделок, получение согласования на совершение которых предусмотрено Уставом Общества</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Своевременное выполнение планов корректирующих мероприятий (ПКМ)</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bCs/>
              </w:rPr>
            </w:pPr>
            <w:r w:rsidRPr="00107880">
              <w:rPr>
                <w:rFonts w:eastAsiaTheme="minorEastAsia"/>
                <w:bCs/>
              </w:rPr>
              <w:t>Показатель, оценивающий своевременность выполнения Обществом планов корректирующих мероприятий в отчетном периоде, разработанных и утвержденных в Обществе по итогам контрольных мероприятий, проводимых в отношении Общества и проверок, проводимых ревизионными комиссиями</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Достингут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90</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lang w:val="en-US"/>
              </w:rPr>
              <w:lastRenderedPageBreak/>
              <w:t>Исполнение Плана развития Общества</w:t>
            </w:r>
          </w:p>
        </w:tc>
        <w:tc>
          <w:tcPr>
            <w:tcW w:w="3117"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both"/>
            </w:pPr>
            <w:r w:rsidRPr="00107880">
              <w:t>При расчете показателя учитывается количество неисполненных в отчетном периоде мероприятий Плана развития Общества, утвержденного Советом директоров ПАО «Россети».</w:t>
            </w:r>
          </w:p>
          <w:p w:rsidR="00A10DA8" w:rsidRPr="00107880" w:rsidRDefault="00A10DA8">
            <w:pPr>
              <w:contextualSpacing/>
              <w:jc w:val="both"/>
              <w:rPr>
                <w:rFonts w:eastAsiaTheme="minorEastAsia"/>
                <w:bCs/>
              </w:rPr>
            </w:pP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-50</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 xml:space="preserve">Подведение итогов выполнения КПЭ "Исполнение Плана развития Общества" за 2024 год будет осуществлено отдельным решением Совета директоров АО "Чеченэнерго" по результатам рассмотрения Советом директоров ПАО "Россети" отчетов об исполнении планов развития дочерних обществ ПАО "Россети" за 2024 год в соответствии с Методикой расчета и оценки выполнения КПЭ единоличного </w:t>
            </w:r>
            <w:r w:rsidRPr="00107880">
              <w:lastRenderedPageBreak/>
              <w:t>исполнительного органа АО "Чеченэнерго", утвержденной решением Совета директоров АО "Чеченэнерго" от 15.12.2023 (протокол от 15.12.2023 № 318).</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rPr>
          <w:trHeight w:val="501"/>
        </w:trPr>
        <w:tc>
          <w:tcPr>
            <w:tcW w:w="15900" w:type="dxa"/>
            <w:gridSpan w:val="12"/>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color w:val="0070C0"/>
              </w:rPr>
            </w:pPr>
            <w:r w:rsidRPr="00107880">
              <w:rPr>
                <w:b/>
                <w:color w:val="0070C0"/>
              </w:rPr>
              <w:t>ИНДИКАТИВНЫЕ ПОКАЗАТЕЛИ</w:t>
            </w:r>
          </w:p>
        </w:tc>
      </w:tr>
      <w:tr w:rsidR="00A10DA8" w:rsidRPr="00107880">
        <w:trPr>
          <w:gridAfter w:val="1"/>
          <w:wAfter w:w="24" w:type="dxa"/>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Достижение фактора «Эффективность процедур по подключению электроэнергии» Национального рейтинга состояния инвестиционного климата</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Показатель определяется на основании степени достижения эталонных ориентиров показателей фактора «Эффективность процедур по подключению электроэнергии» Национального рейтинга состояния инвестиционного климата в субъектах Российской Федерации, входящих в зону эксплуатационной ответственности Общества</w:t>
            </w:r>
          </w:p>
        </w:tc>
        <w:tc>
          <w:tcPr>
            <w:tcW w:w="113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Индикативный показатель</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lang w:val="en-US"/>
              </w:rPr>
              <w:t>113,1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Показатель за 2024 год не расчитан, из-за недостаточного количества качественных ответов респондентов</w:t>
            </w:r>
          </w:p>
        </w:tc>
        <w:tc>
          <w:tcPr>
            <w:tcW w:w="1390"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Не оценивается</w:t>
            </w:r>
          </w:p>
          <w:p w:rsidR="00A10DA8" w:rsidRPr="00107880" w:rsidRDefault="00A10DA8">
            <w:pPr>
              <w:contextualSpacing/>
              <w:jc w:val="center"/>
            </w:pP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r>
    </w:tbl>
    <w:p w:rsidR="00A10DA8" w:rsidRPr="00107880" w:rsidRDefault="00A10DA8">
      <w:pPr>
        <w:rPr>
          <w:sz w:val="20"/>
          <w:szCs w:val="20"/>
        </w:rPr>
        <w:sectPr w:rsidR="00A10DA8" w:rsidRPr="00107880">
          <w:pgSz w:w="16838" w:h="11906" w:orient="landscape"/>
          <w:pgMar w:top="1701" w:right="1134" w:bottom="850" w:left="1134" w:header="708" w:footer="708" w:gutter="0"/>
          <w:cols w:space="708"/>
          <w:docGrid w:linePitch="360"/>
        </w:sectPr>
      </w:pPr>
    </w:p>
    <w:tbl>
      <w:tblPr>
        <w:tblStyle w:val="afa"/>
        <w:tblW w:w="15876" w:type="dxa"/>
        <w:tblInd w:w="-572" w:type="dxa"/>
        <w:tblLayout w:type="fixed"/>
        <w:tblLook w:val="04A0" w:firstRow="1" w:lastRow="0" w:firstColumn="1" w:lastColumn="0" w:noHBand="0" w:noVBand="1"/>
      </w:tblPr>
      <w:tblGrid>
        <w:gridCol w:w="1384"/>
        <w:gridCol w:w="3117"/>
        <w:gridCol w:w="1534"/>
        <w:gridCol w:w="776"/>
        <w:gridCol w:w="1235"/>
        <w:gridCol w:w="1276"/>
        <w:gridCol w:w="1276"/>
        <w:gridCol w:w="992"/>
        <w:gridCol w:w="1877"/>
        <w:gridCol w:w="1276"/>
        <w:gridCol w:w="1133"/>
      </w:tblGrid>
      <w:tr w:rsidR="00A10DA8" w:rsidRPr="00107880">
        <w:trPr>
          <w:trHeight w:val="1683"/>
          <w:tblHeader/>
        </w:trPr>
        <w:tc>
          <w:tcPr>
            <w:tcW w:w="1384"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lastRenderedPageBreak/>
              <w:t>Наименование показателя</w:t>
            </w:r>
          </w:p>
        </w:tc>
        <w:tc>
          <w:tcPr>
            <w:tcW w:w="3117"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Порядок расчета</w:t>
            </w:r>
          </w:p>
        </w:tc>
        <w:tc>
          <w:tcPr>
            <w:tcW w:w="1534"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Должностное лицо, ответственное за достижение ФКПЭ</w:t>
            </w:r>
          </w:p>
        </w:tc>
        <w:tc>
          <w:tcPr>
            <w:tcW w:w="7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Ед. изм.</w:t>
            </w:r>
          </w:p>
        </w:tc>
        <w:tc>
          <w:tcPr>
            <w:tcW w:w="1235"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Достигнутое значение за 2023 год</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 значение на 2024 год</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Достигнутое значение за 2024 год</w:t>
            </w:r>
            <w:r w:rsidRPr="00107880">
              <w:rPr>
                <w:rStyle w:val="afe"/>
              </w:rPr>
              <w:footnoteReference w:id="7"/>
            </w:r>
          </w:p>
        </w:tc>
        <w:tc>
          <w:tcPr>
            <w:tcW w:w="992"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Оценка достижения (%, достигнут/не достигнут)</w:t>
            </w:r>
            <w:r w:rsidRPr="00107880">
              <w:rPr>
                <w:rStyle w:val="afe"/>
                <w:b/>
              </w:rPr>
              <w:footnoteReference w:id="8"/>
            </w:r>
          </w:p>
        </w:tc>
        <w:tc>
          <w:tcPr>
            <w:tcW w:w="1877"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Причины недостижения</w:t>
            </w:r>
          </w:p>
        </w:tc>
        <w:tc>
          <w:tcPr>
            <w:tcW w:w="1276"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 значение на 2025 год</w:t>
            </w:r>
            <w:r w:rsidRPr="00107880">
              <w:rPr>
                <w:rStyle w:val="afe"/>
                <w:b/>
              </w:rPr>
              <w:footnoteReference w:id="9"/>
            </w:r>
          </w:p>
        </w:tc>
        <w:tc>
          <w:tcPr>
            <w:tcW w:w="1133"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rPr>
            </w:pPr>
            <w:r w:rsidRPr="00107880">
              <w:rPr>
                <w:b/>
              </w:rPr>
              <w:t>Целевое значение на 2026 год</w:t>
            </w:r>
          </w:p>
        </w:tc>
      </w:tr>
      <w:tr w:rsidR="00A10DA8" w:rsidRPr="00107880">
        <w:trPr>
          <w:trHeight w:val="557"/>
        </w:trPr>
        <w:tc>
          <w:tcPr>
            <w:tcW w:w="15876" w:type="dxa"/>
            <w:gridSpan w:val="11"/>
            <w:tcBorders>
              <w:top w:val="single" w:sz="4" w:space="0" w:color="auto"/>
              <w:left w:val="single" w:sz="4" w:space="0" w:color="auto"/>
              <w:bottom w:val="single" w:sz="4" w:space="0" w:color="auto"/>
              <w:right w:val="single" w:sz="4" w:space="0" w:color="auto"/>
            </w:tcBorders>
            <w:vAlign w:val="center"/>
          </w:tcPr>
          <w:p w:rsidR="00A10DA8" w:rsidRPr="00107880" w:rsidRDefault="00CA7E8A">
            <w:pPr>
              <w:contextualSpacing/>
              <w:jc w:val="center"/>
              <w:rPr>
                <w:b/>
                <w:color w:val="0070C0"/>
              </w:rPr>
            </w:pPr>
            <w:r w:rsidRPr="00107880">
              <w:rPr>
                <w:b/>
                <w:color w:val="0070C0"/>
              </w:rPr>
              <w:t>ФУНКЦИОНАЛЬНЫЕ КЛЮЧЕВЫЕ ПОКАЗАТЕЛИ ЭФФЕКТИВНОСТИ</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EBITDA (Прибыль по операционной деятельности)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Рассчитывается как прибыль/(убыток) до налогообложения до вычета расходов на амортизацию и процентов к уплате, скорректированная на размер обесценения/(восстановление обесценения) основных средств, и выручки от оказания услуг по технологическому присоединению</w:t>
            </w:r>
          </w:p>
        </w:tc>
        <w:tc>
          <w:tcPr>
            <w:tcW w:w="153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 xml:space="preserve">Заместитель Генерального директора по экономике и финансам </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тыс. руб.</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bCs/>
                <w:color w:val="000000"/>
              </w:rPr>
              <w:t>-576 510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-906 261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-1 169 087</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71%,  не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57741F" w:rsidP="0057741F">
            <w:pPr>
              <w:spacing w:after="0" w:line="240" w:lineRule="auto"/>
              <w:rPr>
                <w:rFonts w:eastAsia="Calibri"/>
              </w:rPr>
            </w:pPr>
            <w:r w:rsidRPr="0057741F">
              <w:rPr>
                <w:rFonts w:eastAsia="Calibri"/>
              </w:rPr>
              <w:t>Снижение маржинального дохода от продажи электроэнергии на 464 283 тыс. руб. вследствие увеличения фактических затрат на приобретение электроэнергии на ОРЭМ.</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rPr>
            </w:pPr>
            <w:r w:rsidRPr="00107880">
              <w:rPr>
                <w:rFonts w:eastAsia="Calibri"/>
              </w:rPr>
              <w:t>-689 310</w:t>
            </w:r>
          </w:p>
          <w:p w:rsidR="00A10DA8" w:rsidRPr="00107880" w:rsidRDefault="00A10DA8">
            <w:pPr>
              <w:spacing w:after="0" w:line="240" w:lineRule="auto"/>
              <w:jc w:val="center"/>
              <w:rPr>
                <w:rFonts w:eastAsia="Calibri"/>
              </w:rPr>
            </w:pP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rPr>
            </w:pPr>
            <w:r w:rsidRPr="00107880">
              <w:rPr>
                <w:rFonts w:eastAsia="Calibri"/>
              </w:rPr>
              <w:t>-793 128</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Получение паспорта готовности в отопительный сезон</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 xml:space="preserve">Своевременное получение паспорта готовности к работе в отопительный сезон Обществом должно быть обеспечено в срок до 5 ноября отчетного года в соответствии с Правилами оценки готовности субъектов электроэнергетики к работе в </w:t>
            </w:r>
            <w:r w:rsidRPr="00107880">
              <w:rPr>
                <w:rFonts w:eastAsiaTheme="minorEastAsia"/>
              </w:rPr>
              <w:lastRenderedPageBreak/>
              <w:t>отопительный сезон, утвержденных Постановлением Правительства РФ от 10.05.2017 № 543</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lastRenderedPageBreak/>
              <w:t>Главный инженер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ед.</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Отсутствие значимых аварий в электрических сетях, расследуемых Ростехнадзором</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При расчете показателя учитываются аварии в электрических сетях Общества, классифицированные комиссией Ростехнадзора по п.4 Правил расследования причин аварий в электроэнергетике (утвержденных Постановлением Правительства РФ от 28.10.2009 № 846)</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Главный инженер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вып/не вып</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p w:rsidR="00A10DA8" w:rsidRPr="00107880" w:rsidRDefault="00A10DA8">
            <w:pPr>
              <w:contextualSpacing/>
              <w:jc w:val="center"/>
            </w:pP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p w:rsidR="00A10DA8" w:rsidRPr="00107880" w:rsidRDefault="00A10DA8">
            <w:pPr>
              <w:contextualSpacing/>
              <w:jc w:val="center"/>
            </w:pP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Повышение производительности труда относительно 2022 года</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Отношение добавленной стоимости по всем видам услуг к среднегодовой численности работников. Сравнение с базовым 2023 годом</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p w:rsidR="00A10DA8" w:rsidRPr="00107880" w:rsidRDefault="00CA7E8A">
            <w:pPr>
              <w:contextualSpacing/>
              <w:jc w:val="center"/>
            </w:pPr>
            <w:r w:rsidRPr="00107880">
              <w:t>Первый заместитель управляющего директора</w:t>
            </w:r>
          </w:p>
          <w:p w:rsidR="00A10DA8" w:rsidRPr="00107880" w:rsidRDefault="00CA7E8A">
            <w:pPr>
              <w:contextualSpacing/>
              <w:jc w:val="center"/>
            </w:pPr>
            <w:r w:rsidRPr="00107880">
              <w:t>Заместитель управляющего директора  - директор Отделения "Энергосбыт"</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969,2</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670,23</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15,0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20,0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lastRenderedPageBreak/>
              <w:t>Активная текучесть персонала</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Отношение суммарного количества работников Общества, уволенных по собственному желанию в соответствии с пунктами 3 (расторжение трудового договора по инициативе работника) и 5 (перевод работника по его просьбе или с его согласия на работу к другому работодателю, или переход на выборную работу (должность)) статьи 77 Трудового кодекса РФ, к среднесписочной численности за отчетный период</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10,3</w:t>
            </w:r>
          </w:p>
          <w:p w:rsidR="00A10DA8" w:rsidRPr="00107880" w:rsidRDefault="00A10DA8">
            <w:pPr>
              <w:contextualSpacing/>
              <w:jc w:val="center"/>
            </w:pP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6,5</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0,9</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p w:rsidR="00A10DA8" w:rsidRPr="00107880" w:rsidRDefault="00CA7E8A">
            <w:pPr>
              <w:contextualSpacing/>
              <w:jc w:val="center"/>
            </w:pPr>
            <w:r w:rsidRPr="00107880">
              <w:t>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6,5</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6,5</w:t>
            </w:r>
          </w:p>
        </w:tc>
      </w:tr>
      <w:tr w:rsidR="00A10DA8" w:rsidRPr="00107880">
        <w:trPr>
          <w:trHeight w:val="2346"/>
        </w:trPr>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Уровень укомплектованности персоналом</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rPr>
            </w:pPr>
            <w:r w:rsidRPr="00107880">
              <w:rPr>
                <w:rFonts w:eastAsiaTheme="minorEastAsia"/>
              </w:rPr>
              <w:t>Определяется ка отношение штатной численности, уменьшений на количество вакантных должностей к штатной численности согласно штатного расписания Общества на конец отчетного периода</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95,0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96,9</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95,0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95,0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Соблюдение сроков осуществления технологичес</w:t>
            </w:r>
            <w:r w:rsidRPr="00107880">
              <w:lastRenderedPageBreak/>
              <w:t>кого присоединения</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lastRenderedPageBreak/>
              <w:t xml:space="preserve">Комплексный показатель, оценивающий уровень качества осуществляемого техприсоединения к сети, из двух составляющих – качество </w:t>
            </w:r>
            <w:r w:rsidRPr="00107880">
              <w:rPr>
                <w:rFonts w:eastAsiaTheme="minorEastAsia"/>
              </w:rPr>
              <w:lastRenderedPageBreak/>
              <w:t>рассмотрения заявок на ТП, качество исполнения договоров об осуществлении ТП заявителей к сети</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lastRenderedPageBreak/>
              <w:t>Первый заместитель управляющего директора</w:t>
            </w:r>
          </w:p>
          <w:p w:rsidR="00A10DA8" w:rsidRPr="00107880" w:rsidRDefault="00CA7E8A">
            <w:pPr>
              <w:contextualSpacing/>
              <w:jc w:val="center"/>
            </w:pPr>
            <w:r w:rsidRPr="00107880">
              <w:lastRenderedPageBreak/>
              <w:t>Заместитель управляющего директора по реализации и развитию услуг</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отн.ед.</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1,04</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1,1</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1,1</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1,1</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bCs/>
              </w:rPr>
              <w:t>Долг/EBITDA</w:t>
            </w:r>
            <w:r w:rsidR="008729A7">
              <w:rPr>
                <w:rStyle w:val="afe"/>
                <w:bCs/>
              </w:rPr>
              <w:footnoteReference w:id="10"/>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cstheme="minorHAnsi"/>
              </w:rPr>
              <w:t xml:space="preserve">Отношение суммы долгосрочных и краткосрочных кредитов и займов к показателю </w:t>
            </w:r>
            <w:r w:rsidRPr="00107880">
              <w:rPr>
                <w:rFonts w:cstheme="minorHAnsi"/>
                <w:lang w:val="en-US"/>
              </w:rPr>
              <w:t>EBITDA</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тыс. руб.</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rFonts w:eastAsia="Calibri"/>
              </w:rPr>
              <w:t>447 462</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457 462</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97%,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b/>
              </w:rPr>
            </w:pPr>
            <w:r w:rsidRPr="00107880">
              <w:rPr>
                <w:rFonts w:eastAsia="Calibri"/>
                <w:b/>
              </w:rPr>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t>107 841</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t>77 841</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Эффективность перехода на использование отечественного программного обеспечения</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t>Определяется как доля (процент) установленного российского (отечественного) ПО в общем объеме установленного ПО в Обществе, реализующего утвержденный Советом директоров Общества собственный план по переходу на преимущественное использование отечественного ПО</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lang w:val="en-US"/>
              </w:rPr>
              <w:t>81</w:t>
            </w: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rFonts w:eastAsia="Calibri"/>
              </w:rPr>
              <w:t>84,3</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84,3</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b/>
              </w:rPr>
            </w:pPr>
            <w:r w:rsidRPr="00107880">
              <w:rPr>
                <w:rFonts w:eastAsia="Calibri"/>
                <w:b/>
              </w:rPr>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t>88,9</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pPr>
            <w:r w:rsidRPr="00107880">
              <w:t>90,0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Эффективность перехода на использование отечественно</w:t>
            </w:r>
            <w:r w:rsidRPr="00107880">
              <w:lastRenderedPageBreak/>
              <w:t>й радиоэлектронной продукции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rPr>
            </w:pPr>
            <w:r w:rsidRPr="00107880">
              <w:rPr>
                <w:rFonts w:eastAsiaTheme="minorEastAsia"/>
              </w:rPr>
              <w:lastRenderedPageBreak/>
              <w:t xml:space="preserve">Определяется как доля (процент) закупки Обществом российской (отечественной) РЭП в общем объеме по Обществу, реализующего план по переходу на преимущественное </w:t>
            </w:r>
            <w:r w:rsidRPr="00107880">
              <w:rPr>
                <w:rFonts w:eastAsiaTheme="minorEastAsia"/>
              </w:rPr>
              <w:lastRenderedPageBreak/>
              <w:t>использование отечественной радиоэлектронной продукции</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lastRenderedPageBreak/>
              <w:t>Главный инженер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77,0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77,0</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78,0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79,0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Просроченная дебиторская задолженность за услуги по передаче электроэнергии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rPr>
            </w:pPr>
            <w:r w:rsidRPr="00107880">
              <w:rPr>
                <w:rFonts w:eastAsiaTheme="minorEastAsia"/>
              </w:rPr>
              <w:t xml:space="preserve">Непревышение фактического значения просроченной дебиторской задолженности (без учета мораторной задолженности) на конец отчетного периода над целевым значением </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Первый заместитель управляющего директора</w:t>
            </w:r>
          </w:p>
          <w:p w:rsidR="00A10DA8" w:rsidRPr="00107880" w:rsidRDefault="00CA7E8A">
            <w:pPr>
              <w:contextualSpacing/>
              <w:jc w:val="center"/>
            </w:pPr>
            <w:r w:rsidRPr="00107880">
              <w:t>Заместитель управляющего директора по реализации и развитию услуг</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тыс. руб.</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pPr>
            <w:r w:rsidRPr="00107880">
              <w:t>0</w:t>
            </w:r>
            <w:r w:rsidRPr="00107880">
              <w:tab/>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rPr>
                <w:lang w:val="en-US"/>
              </w:rP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bCs/>
              </w:rPr>
              <w:t>Сохранность имущества организации</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eastAsiaTheme="minorEastAsia"/>
              </w:rPr>
            </w:pPr>
            <w:r w:rsidRPr="00107880">
              <w:rPr>
                <w:rFonts w:cstheme="minorHAnsi"/>
              </w:rPr>
              <w:t>При расчете показателя учитываются факты хищений или преднамеренных повреждений имущества Общества</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Заместитель управляющего директора по безопасности</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шт.</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p w:rsidR="00A10DA8" w:rsidRPr="00107880" w:rsidRDefault="00A10DA8">
            <w:pPr>
              <w:contextualSpacing/>
              <w:jc w:val="center"/>
            </w:pP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t xml:space="preserve">Доля договоров, заключенных по результатам состоявшихся процедур, проведенных в </w:t>
            </w:r>
            <w:r w:rsidRPr="00107880">
              <w:lastRenderedPageBreak/>
              <w:t>электронной форме</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rFonts w:eastAsiaTheme="minorEastAsia"/>
              </w:rPr>
              <w:lastRenderedPageBreak/>
              <w:t>Рассчитывается как отношение количества закупочных процедур, проведенных в электронной форме, по результатам которых заключены расходные договоры, к общему количеству закупочных процедур (конкурентных и неконкурентных), по результатам которых заключены расходные договоры</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Заместитель управляющего директора по общим вопросам</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92,3</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rPr>
                <w:rFonts w:eastAsia="Calibri"/>
              </w:rPr>
              <w:t>56,0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92,2</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rsidP="00582FD1">
            <w:pPr>
              <w:contextualSpacing/>
              <w:jc w:val="center"/>
            </w:pPr>
            <w:r w:rsidRPr="00107880">
              <w:t>100% достиг</w:t>
            </w:r>
            <w:r w:rsidR="00582FD1">
              <w:t>н</w:t>
            </w:r>
            <w:r w:rsidRPr="00107880">
              <w:t>ут</w:t>
            </w:r>
          </w:p>
        </w:tc>
        <w:tc>
          <w:tcPr>
            <w:tcW w:w="1877" w:type="dxa"/>
            <w:tcBorders>
              <w:top w:val="single" w:sz="4" w:space="0" w:color="auto"/>
              <w:left w:val="single" w:sz="4" w:space="0" w:color="auto"/>
              <w:bottom w:val="single" w:sz="4" w:space="0" w:color="auto"/>
              <w:right w:val="single" w:sz="4" w:space="0" w:color="auto"/>
            </w:tcBorders>
            <w:vAlign w:val="center"/>
          </w:tcPr>
          <w:p w:rsidR="00A10DA8" w:rsidRPr="00107880" w:rsidRDefault="00CA7E8A">
            <w:pPr>
              <w:spacing w:after="0" w:line="240" w:lineRule="auto"/>
              <w:jc w:val="center"/>
              <w:rPr>
                <w:rFonts w:eastAsia="Calibri"/>
              </w:rPr>
            </w:pPr>
            <w:r w:rsidRPr="00107880">
              <w:rPr>
                <w:rFonts w:eastAsia="Calibri"/>
              </w:rPr>
              <w:t>-</w:t>
            </w:r>
          </w:p>
          <w:p w:rsidR="00A10DA8" w:rsidRPr="00107880" w:rsidRDefault="00A10DA8">
            <w:pPr>
              <w:spacing w:after="0" w:line="240" w:lineRule="auto"/>
              <w:jc w:val="center"/>
              <w:rPr>
                <w:rFonts w:eastAsia="Calibri"/>
              </w:rPr>
            </w:pP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rPr>
            </w:pPr>
            <w:r w:rsidRPr="00107880">
              <w:rPr>
                <w:rFonts w:eastAsia="Calibri"/>
              </w:rPr>
              <w:t>60,0</w:t>
            </w:r>
            <w:r w:rsidR="008F6D50">
              <w:rPr>
                <w:rFonts w:eastAsia="Calibri"/>
              </w:rPr>
              <w:t>*</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spacing w:after="0" w:line="240" w:lineRule="auto"/>
              <w:jc w:val="center"/>
              <w:rPr>
                <w:rFonts w:eastAsia="Calibri"/>
              </w:rPr>
            </w:pPr>
            <w:r w:rsidRPr="00107880">
              <w:rPr>
                <w:rFonts w:eastAsia="Calibri"/>
              </w:rPr>
              <w:t>64,0</w:t>
            </w:r>
            <w:r w:rsidR="008F6D50">
              <w:rPr>
                <w:rFonts w:eastAsia="Calibri"/>
              </w:rPr>
              <w:t>*</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pPr>
            <w:r w:rsidRPr="00107880">
              <w:rPr>
                <w:bCs/>
              </w:rPr>
              <w:t>Количество замечаний (ошибок) к ведению бухгалтерского учета в организации, выявленных аудитором и ревизионной комиссией при проведении проверок по итогам отчетного периода</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strike/>
              </w:rPr>
            </w:pPr>
            <w:r w:rsidRPr="00107880">
              <w:rPr>
                <w:rFonts w:cstheme="minorHAnsi"/>
              </w:rPr>
              <w:t>При оценке выполнения показателя учитываются замечания (ошибки) в части ведения бухгалтерского учета и составления отчетности, замечания в части исполнения законодательства Российской Федерации о налогах и сборах, а также учитывается уровень существенности, который устанавливается стандартами аудиторской деятельности</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Главный бухгалтер-начальник Отдела бухгалтерского и налогового учета и отчетности</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вып/не вып</w:t>
            </w: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w:t>
            </w:r>
          </w:p>
        </w:tc>
      </w:tr>
      <w:tr w:rsidR="00A10DA8" w:rsidRPr="00107880">
        <w:tc>
          <w:tcPr>
            <w:tcW w:w="1384"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bCs/>
              </w:rPr>
            </w:pPr>
            <w:r w:rsidRPr="00107880">
              <w:rPr>
                <w:bCs/>
              </w:rPr>
              <w:t>Эффективность реализации дополнительных услуг</w:t>
            </w:r>
          </w:p>
        </w:tc>
        <w:tc>
          <w:tcPr>
            <w:tcW w:w="311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both"/>
              <w:rPr>
                <w:rFonts w:cstheme="minorHAnsi"/>
              </w:rPr>
            </w:pPr>
            <w:r w:rsidRPr="00107880">
              <w:rPr>
                <w:rFonts w:cstheme="minorHAnsi"/>
              </w:rPr>
              <w:t>Показатель оценивает достижение плановой выручки от реализации дополнительных услуг прочей деятельности и достижение плановой валовой прибыли от реализации дополнительных услуг прочей деятельности за отчетный период</w:t>
            </w:r>
          </w:p>
        </w:tc>
        <w:tc>
          <w:tcPr>
            <w:tcW w:w="1534" w:type="dxa"/>
            <w:tcBorders>
              <w:top w:val="single" w:sz="4" w:space="0" w:color="auto"/>
              <w:left w:val="single" w:sz="4" w:space="0" w:color="auto"/>
              <w:bottom w:val="single" w:sz="4" w:space="0" w:color="auto"/>
              <w:right w:val="single" w:sz="4" w:space="0" w:color="auto"/>
            </w:tcBorders>
            <w:shd w:val="clear" w:color="auto" w:fill="auto"/>
          </w:tcPr>
          <w:p w:rsidR="00A10DA8" w:rsidRPr="00107880" w:rsidRDefault="00CA7E8A">
            <w:pPr>
              <w:contextualSpacing/>
              <w:jc w:val="center"/>
            </w:pPr>
            <w:r w:rsidRPr="00107880">
              <w:t>Управляющий директор</w:t>
            </w:r>
          </w:p>
        </w:tc>
        <w:tc>
          <w:tcPr>
            <w:tcW w:w="776" w:type="dxa"/>
            <w:tcBorders>
              <w:top w:val="single" w:sz="4" w:space="0" w:color="auto"/>
              <w:left w:val="single" w:sz="4" w:space="0" w:color="auto"/>
              <w:bottom w:val="single" w:sz="4" w:space="0" w:color="auto"/>
              <w:right w:val="single" w:sz="4" w:space="0" w:color="auto"/>
            </w:tcBorders>
          </w:tcPr>
          <w:p w:rsidR="00A10DA8" w:rsidRPr="00107880" w:rsidRDefault="00A10DA8">
            <w:pPr>
              <w:contextualSpacing/>
              <w:jc w:val="center"/>
            </w:pPr>
          </w:p>
        </w:tc>
        <w:tc>
          <w:tcPr>
            <w:tcW w:w="1235"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Не устанавливался</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100,0</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66,0</w:t>
            </w:r>
          </w:p>
          <w:p w:rsidR="00A10DA8" w:rsidRPr="00107880" w:rsidRDefault="00A10DA8">
            <w:pPr>
              <w:contextualSpacing/>
              <w:jc w:val="center"/>
            </w:pPr>
          </w:p>
        </w:tc>
        <w:tc>
          <w:tcPr>
            <w:tcW w:w="992"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0%, не достигнут</w:t>
            </w:r>
          </w:p>
        </w:tc>
        <w:tc>
          <w:tcPr>
            <w:tcW w:w="1877"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 xml:space="preserve">Один из крупнейших операторов Чеченской Республики решил временно приостановить услуги по договору, что </w:t>
            </w:r>
            <w:r w:rsidRPr="00107880">
              <w:lastRenderedPageBreak/>
              <w:t>повлекло недополучение выручки и, соответственно, повлияло на итоговые показатели 2024 года.</w:t>
            </w:r>
          </w:p>
        </w:tc>
        <w:tc>
          <w:tcPr>
            <w:tcW w:w="1276"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lastRenderedPageBreak/>
              <w:t>100,0</w:t>
            </w:r>
          </w:p>
        </w:tc>
        <w:tc>
          <w:tcPr>
            <w:tcW w:w="1133" w:type="dxa"/>
            <w:tcBorders>
              <w:top w:val="single" w:sz="4" w:space="0" w:color="auto"/>
              <w:left w:val="single" w:sz="4" w:space="0" w:color="auto"/>
              <w:bottom w:val="single" w:sz="4" w:space="0" w:color="auto"/>
              <w:right w:val="single" w:sz="4" w:space="0" w:color="auto"/>
            </w:tcBorders>
          </w:tcPr>
          <w:p w:rsidR="00A10DA8" w:rsidRPr="00107880" w:rsidRDefault="00CA7E8A">
            <w:pPr>
              <w:contextualSpacing/>
              <w:jc w:val="center"/>
            </w:pPr>
            <w:r w:rsidRPr="00107880">
              <w:t>100,0</w:t>
            </w:r>
          </w:p>
        </w:tc>
      </w:tr>
    </w:tbl>
    <w:p w:rsidR="00A10DA8" w:rsidRPr="00107880" w:rsidRDefault="008F6D50" w:rsidP="008F6D50">
      <w:pPr>
        <w:spacing w:after="0" w:line="240" w:lineRule="auto"/>
        <w:jc w:val="both"/>
        <w:rPr>
          <w:rFonts w:ascii="Times New Roman" w:hAnsi="Times New Roman" w:cs="Times New Roman"/>
          <w:sz w:val="20"/>
          <w:szCs w:val="20"/>
          <w:lang w:eastAsia="ru-RU"/>
        </w:rPr>
      </w:pPr>
      <w:r w:rsidRPr="008F6D50">
        <w:rPr>
          <w:rFonts w:ascii="Times New Roman" w:hAnsi="Times New Roman" w:cs="Times New Roman"/>
          <w:sz w:val="20"/>
          <w:szCs w:val="20"/>
          <w:lang w:eastAsia="ru-RU"/>
        </w:rPr>
        <w:t>*Состав и целевые значения показателей утверждены решением Совета директоров АО  «Чеченэнерго» от  22.11.2024 (протокол от 22.11.2024  № 348)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w:t>
      </w:r>
      <w:r>
        <w:rPr>
          <w:rFonts w:ascii="Times New Roman" w:hAnsi="Times New Roman" w:cs="Times New Roman"/>
          <w:sz w:val="20"/>
          <w:szCs w:val="20"/>
          <w:lang w:eastAsia="ru-RU"/>
        </w:rPr>
        <w:t> </w:t>
      </w:r>
      <w:r w:rsidRPr="008F6D50">
        <w:rPr>
          <w:rFonts w:ascii="Times New Roman" w:hAnsi="Times New Roman" w:cs="Times New Roman"/>
          <w:sz w:val="20"/>
          <w:szCs w:val="20"/>
          <w:lang w:eastAsia="ru-RU"/>
        </w:rPr>
        <w:t>«Россети», утвержденного приказом ПАО «Россети» от 03.04.2025 № 171.</w:t>
      </w:r>
      <w:r w:rsidR="00CA7E8A" w:rsidRPr="00107880">
        <w:rPr>
          <w:rFonts w:ascii="Times New Roman" w:hAnsi="Times New Roman" w:cs="Times New Roman"/>
          <w:sz w:val="20"/>
          <w:szCs w:val="20"/>
          <w:lang w:eastAsia="ru-RU"/>
        </w:rPr>
        <w:br w:type="page" w:clear="all"/>
      </w:r>
    </w:p>
    <w:p w:rsidR="00A10DA8" w:rsidRPr="00107880" w:rsidRDefault="00A10DA8">
      <w:pPr>
        <w:spacing w:after="0" w:line="240" w:lineRule="auto"/>
        <w:rPr>
          <w:sz w:val="20"/>
          <w:szCs w:val="20"/>
          <w:lang w:eastAsia="ru-RU"/>
        </w:rPr>
        <w:sectPr w:rsidR="00A10DA8" w:rsidRPr="00107880">
          <w:footnotePr>
            <w:numRestart w:val="eachPage"/>
          </w:footnotePr>
          <w:pgSz w:w="16838" w:h="11906" w:orient="landscape"/>
          <w:pgMar w:top="1701" w:right="1134" w:bottom="851" w:left="1134" w:header="709" w:footer="709" w:gutter="0"/>
          <w:cols w:space="708"/>
          <w:titlePg/>
          <w:docGrid w:linePitch="360"/>
        </w:sectPr>
      </w:pPr>
    </w:p>
    <w:p w:rsidR="00A10DA8" w:rsidRDefault="00A10DA8">
      <w:pPr>
        <w:spacing w:after="0" w:line="240" w:lineRule="auto"/>
        <w:rPr>
          <w:lang w:eastAsia="ru-RU"/>
        </w:rPr>
      </w:pPr>
    </w:p>
    <w:p w:rsidR="00A10DA8" w:rsidRDefault="00CA7E8A">
      <w:pPr>
        <w:pStyle w:val="1"/>
        <w:ind w:firstLine="709"/>
        <w:rPr>
          <w:b w:val="0"/>
        </w:rPr>
      </w:pPr>
      <w:bookmarkStart w:id="11" w:name="_Toc195780412"/>
      <w:bookmarkStart w:id="12" w:name="_Toc473537015"/>
      <w:r>
        <w:t>Ключевые риски</w:t>
      </w:r>
      <w:bookmarkEnd w:id="11"/>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rPr>
          <w:rFonts w:asciiTheme="majorHAnsi" w:eastAsiaTheme="majorEastAsia" w:hAnsiTheme="majorHAnsi" w:cstheme="majorBidi"/>
          <w:color w:val="2E74B5" w:themeColor="accent1" w:themeShade="BF"/>
          <w:sz w:val="24"/>
          <w:szCs w:val="26"/>
          <w:lang w:eastAsia="ru-RU"/>
        </w:rPr>
      </w:pPr>
      <w:r>
        <w:rPr>
          <w:rFonts w:ascii="Times New Roman" w:eastAsia="Calibri" w:hAnsi="Times New Roman" w:cs="Times New Roman"/>
          <w:b/>
          <w:sz w:val="24"/>
          <w:szCs w:val="24"/>
          <w:lang w:eastAsia="ru-RU"/>
        </w:rPr>
        <w:tab/>
        <w:t>Информация о методологии оценки рисков</w:t>
      </w:r>
    </w:p>
    <w:p w:rsidR="00A10DA8" w:rsidRDefault="00A10DA8">
      <w:pPr>
        <w:spacing w:after="0" w:line="240" w:lineRule="auto"/>
        <w:ind w:firstLine="567"/>
        <w:jc w:val="both"/>
        <w:rPr>
          <w:rFonts w:ascii="Times New Roman" w:eastAsia="Times New Roman" w:hAnsi="Times New Roman" w:cs="Times New Roman"/>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Основная задача оценивания риска – определение существенности риска с учетом вероятности его реализации и уровня последствий. Оцениванию подлежат все идентифицированные риски.</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Уровни существенности риска:</w:t>
      </w:r>
    </w:p>
    <w:p w:rsidR="00A10DA8" w:rsidRDefault="00CA7E8A">
      <w:pPr>
        <w:pStyle w:val="aff"/>
        <w:numPr>
          <w:ilvl w:val="0"/>
          <w:numId w:val="20"/>
        </w:numPr>
        <w:tabs>
          <w:tab w:val="left" w:pos="851"/>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критические риски (красная зона) – являются неприемлемыми для Общества и подлежат приоритетному управлению;</w:t>
      </w:r>
    </w:p>
    <w:p w:rsidR="00A10DA8" w:rsidRDefault="00CA7E8A">
      <w:pPr>
        <w:pStyle w:val="aff"/>
        <w:numPr>
          <w:ilvl w:val="0"/>
          <w:numId w:val="20"/>
        </w:numPr>
        <w:tabs>
          <w:tab w:val="left" w:pos="851"/>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значимые риски (желтая зона) – оказывают существенное влияние на деятельность Общества и подлежат управлению;</w:t>
      </w:r>
    </w:p>
    <w:p w:rsidR="00A10DA8" w:rsidRDefault="00CA7E8A">
      <w:pPr>
        <w:pStyle w:val="aff"/>
        <w:numPr>
          <w:ilvl w:val="0"/>
          <w:numId w:val="20"/>
        </w:numPr>
        <w:tabs>
          <w:tab w:val="left" w:pos="851"/>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умеренные риски (зеленая зона) – не оказывают значительного влияния на деятельность Общества, подлежат периодическому мониторингу.</w:t>
      </w:r>
    </w:p>
    <w:p w:rsidR="00A10DA8" w:rsidRDefault="00A10DA8">
      <w:pPr>
        <w:spacing w:after="0" w:line="240" w:lineRule="auto"/>
        <w:ind w:firstLine="567"/>
        <w:jc w:val="both"/>
        <w:rPr>
          <w:rFonts w:ascii="Times New Roman" w:eastAsia="Times New Roman" w:hAnsi="Times New Roman" w:cs="Times New Roman"/>
          <w:sz w:val="24"/>
          <w:szCs w:val="24"/>
          <w:lang w:eastAsia="ru-RU"/>
        </w:rPr>
      </w:pPr>
    </w:p>
    <w:p w:rsidR="00A10DA8" w:rsidRDefault="00CA7E8A">
      <w:pPr>
        <w:spacing w:after="0" w:line="240" w:lineRule="auto"/>
        <w:ind w:firstLine="709"/>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 xml:space="preserve">Сведения о ключевых рисках </w:t>
      </w:r>
    </w:p>
    <w:p w:rsidR="00A10DA8" w:rsidRDefault="00A10DA8">
      <w:pPr>
        <w:spacing w:after="0" w:line="240" w:lineRule="auto"/>
        <w:ind w:firstLine="709"/>
        <w:jc w:val="center"/>
        <w:rPr>
          <w:rFonts w:ascii="Times New Roman" w:eastAsia="Calibri" w:hAnsi="Times New Roman" w:cs="Times New Roman"/>
          <w:b/>
          <w:sz w:val="24"/>
          <w:szCs w:val="24"/>
          <w:lang w:eastAsia="ru-RU"/>
        </w:rPr>
      </w:pPr>
    </w:p>
    <w:tbl>
      <w:tblPr>
        <w:tblpPr w:leftFromText="180" w:rightFromText="180" w:vertAnchor="text" w:tblpX="-323" w:tblpY="1"/>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375"/>
        <w:gridCol w:w="3261"/>
        <w:gridCol w:w="2444"/>
        <w:gridCol w:w="1276"/>
      </w:tblGrid>
      <w:tr w:rsidR="00A10DA8">
        <w:trPr>
          <w:tblHeader/>
        </w:trPr>
        <w:tc>
          <w:tcPr>
            <w:tcW w:w="568" w:type="dxa"/>
            <w:shd w:val="clear" w:color="auto" w:fill="C6D9F1"/>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п/п</w:t>
            </w:r>
          </w:p>
        </w:tc>
        <w:tc>
          <w:tcPr>
            <w:tcW w:w="2375" w:type="dxa"/>
            <w:shd w:val="clear" w:color="auto" w:fill="C6D9F1"/>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Наименование риска</w:t>
            </w:r>
          </w:p>
        </w:tc>
        <w:tc>
          <w:tcPr>
            <w:tcW w:w="3261" w:type="dxa"/>
            <w:shd w:val="clear" w:color="auto" w:fill="C6D9F1"/>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Описание риска</w:t>
            </w:r>
          </w:p>
        </w:tc>
        <w:tc>
          <w:tcPr>
            <w:tcW w:w="2444" w:type="dxa"/>
            <w:shd w:val="clear" w:color="auto" w:fill="C6D9F1"/>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Мероприятия по управлению ключевыми рисками</w:t>
            </w:r>
          </w:p>
        </w:tc>
        <w:tc>
          <w:tcPr>
            <w:tcW w:w="1276" w:type="dxa"/>
            <w:shd w:val="clear" w:color="auto" w:fill="C6D9F1"/>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Уровень существенности риска </w:t>
            </w:r>
          </w:p>
        </w:tc>
      </w:tr>
      <w:tr w:rsidR="00A10DA8">
        <w:tc>
          <w:tcPr>
            <w:tcW w:w="9924" w:type="dxa"/>
            <w:gridSpan w:val="5"/>
            <w:shd w:val="clear" w:color="auto" w:fill="DAEEF3"/>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Отраслевые риски:</w: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Тарифные риски</w:t>
            </w:r>
          </w:p>
          <w:p w:rsidR="00A10DA8" w:rsidRDefault="00A10DA8">
            <w:pPr>
              <w:spacing w:after="0" w:line="240" w:lineRule="auto"/>
              <w:jc w:val="both"/>
              <w:rPr>
                <w:rFonts w:ascii="Times New Roman" w:eastAsia="Times New Roman" w:hAnsi="Times New Roman" w:cs="Times New Roman"/>
                <w:sz w:val="20"/>
                <w:szCs w:val="20"/>
                <w:lang w:eastAsia="ru-RU"/>
              </w:rPr>
            </w:pP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Проводимая государством политика тарифного регулирования учитывает необходимость сдерживания инфляции и предусматривает изменение регулируемых тарифов сетевых организаций в 2024 году ниже индекса фактической инфляции при опережающем росте цен на оптовом рынке, что обуславливает риск установления регулирующими органами тарифного меню, не обеспечивающего собираемость экономически обоснованной выручки</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В целях минимизации указанных факторов риска Общество проводит сбалансированную политику по повышению эффективности инвестиционной и операционной деятельности, направленную на сокращение расходов и оптимальное планирование структуры источников финансирования деятельности</w:t>
            </w:r>
          </w:p>
        </w:tc>
        <w:tc>
          <w:tcPr>
            <w:tcW w:w="1276" w:type="dxa"/>
            <w:shd w:val="clear" w:color="auto" w:fill="auto"/>
          </w:tcPr>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292735" cy="304800"/>
                      <wp:effectExtent l="0" t="0" r="0" b="0"/>
                      <wp:docPr id="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5"/>
                              <a:stretch/>
                            </pic:blipFill>
                            <pic:spPr bwMode="auto">
                              <a:xfrm>
                                <a:off x="0" y="0"/>
                                <a:ext cx="292735" cy="30480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23.05pt;height:24.00pt;mso-wrap-distance-left:0.00pt;mso-wrap-distance-top:0.00pt;mso-wrap-distance-right:0.00pt;mso-wrap-distance-bottom:0.00pt;" stroked="false">
                      <v:path textboxrect="0,0,0,0"/>
                      <v:imagedata r:id="rId16" o:title=""/>
                    </v:shape>
                  </w:pict>
                </mc:Fallback>
              </mc:AlternateConten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снижения объема услуг по передаче электрической энергии</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обусловлен возможностью снижения спроса на электрическую энергию и оптимизацией крупными потребителями схем внешнего электроснабжения</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 целях минимизации риска АО «Чеченэнерго», ориентируясь на макроэкономическую статистику и поведение крупных потребителей, принимает меры к повышению достоверности прогнозирования объема услуг по передаче электрической энергии, используемого для целей ценообразования и бизнес-планирования</w:t>
            </w:r>
          </w:p>
        </w:tc>
        <w:tc>
          <w:tcPr>
            <w:tcW w:w="1276" w:type="dxa"/>
            <w:shd w:val="clear" w:color="auto" w:fill="auto"/>
          </w:tcPr>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tabs>
                <w:tab w:val="left" w:pos="689"/>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326003" cy="326003"/>
                      <wp:effectExtent l="0" t="0" r="0" b="0"/>
                      <wp:docPr id="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7"/>
                              <a:stretch/>
                            </pic:blipFill>
                            <pic:spPr bwMode="auto">
                              <a:xfrm>
                                <a:off x="0" y="0"/>
                                <a:ext cx="323268" cy="32326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25.67pt;height:25.67pt;mso-wrap-distance-left:0.00pt;mso-wrap-distance-top:0.00pt;mso-wrap-distance-right:0.00pt;mso-wrap-distance-bottom:0.00pt;" stroked="false">
                      <v:path textboxrect="0,0,0,0"/>
                      <v:imagedata r:id="rId18" o:title=""/>
                    </v:shape>
                  </w:pict>
                </mc:Fallback>
              </mc:AlternateContent>
            </w:r>
          </w:p>
          <w:p w:rsidR="00A10DA8" w:rsidRDefault="00A10DA8">
            <w:pPr>
              <w:tabs>
                <w:tab w:val="left" w:pos="689"/>
              </w:tabs>
              <w:spacing w:after="0" w:line="240" w:lineRule="auto"/>
              <w:rPr>
                <w:rFonts w:ascii="Times New Roman" w:eastAsia="Times New Roman" w:hAnsi="Times New Roman" w:cs="Times New Roman"/>
                <w:sz w:val="24"/>
                <w:szCs w:val="24"/>
                <w:lang w:eastAsia="ru-RU"/>
              </w:rPr>
            </w:pPr>
          </w:p>
          <w:p w:rsidR="00A10DA8" w:rsidRDefault="00CA7E8A">
            <w:pPr>
              <w:tabs>
                <w:tab w:val="left" w:pos="689"/>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предоставлением услуг технологического присоединения заявителям</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Риски обусловлены возможным возникновением дефицита источника финансирования мероприятий по выполнению договоров об осуществлении технологического присоединения; </w:t>
            </w:r>
            <w:r>
              <w:rPr>
                <w:rFonts w:ascii="Times New Roman" w:eastAsia="Times New Roman" w:hAnsi="Times New Roman" w:cs="Times New Roman"/>
                <w:sz w:val="20"/>
                <w:szCs w:val="20"/>
                <w:lang w:eastAsia="ru-RU"/>
              </w:rPr>
              <w:lastRenderedPageBreak/>
              <w:t>неисполнением со стороны заявителей обязательств по договорам об осуществлении технологического присоединения; неиспользованием заявителями мощности, полученной при технологическом присоединении. Вследствие влияния данных факторов возможно снижение выручки Общества от технологического присоединения</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lastRenderedPageBreak/>
              <w:t xml:space="preserve">Общество осуществляет разъяснительную работу процесса оказания услуг по технологическому присоединению среди потребителей, в том числе </w:t>
            </w:r>
            <w:r>
              <w:rPr>
                <w:rFonts w:ascii="Times New Roman" w:eastAsia="Calibri" w:hAnsi="Times New Roman" w:cs="Times New Roman"/>
                <w:sz w:val="20"/>
                <w:szCs w:val="20"/>
                <w:lang w:eastAsia="ru-RU"/>
              </w:rPr>
              <w:lastRenderedPageBreak/>
              <w:t>с публичным размещением информации об оказании услуг и созданием Центров обслуживания клиентов, а также проводятся мероприятия по повышению доступности процедуры технологического присоединения</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61312" behindDoc="0" locked="0" layoutInCell="1" allowOverlap="1">
                      <wp:simplePos x="0" y="0"/>
                      <wp:positionH relativeFrom="column">
                        <wp:posOffset>95582</wp:posOffset>
                      </wp:positionH>
                      <wp:positionV relativeFrom="paragraph">
                        <wp:posOffset>53975</wp:posOffset>
                      </wp:positionV>
                      <wp:extent cx="269875" cy="278130"/>
                      <wp:effectExtent l="0" t="0" r="15875" b="26670"/>
                      <wp:wrapNone/>
                      <wp:docPr id="4" name="Овал 16"/>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 o:spid="_x0000_s3" o:spt="3" type="#_x0000_t3" style="position:absolute;z-index:251661312;o:allowoverlap:true;o:allowincell:true;mso-position-horizontal-relative:text;margin-left:7.53pt;mso-position-horizontal:absolute;mso-position-vertical-relative:text;margin-top:4.25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r>
              <w:rPr>
                <w:rFonts w:ascii="Times New Roman" w:eastAsia="Times New Roman" w:hAnsi="Times New Roman" w:cs="Times New Roman"/>
                <w:sz w:val="24"/>
                <w:szCs w:val="24"/>
                <w:lang w:eastAsia="ru-RU"/>
              </w:rPr>
              <w:t xml:space="preserve">         </w: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4</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связанный с неплатежами за оказанные услуги по передаче электрической энергии (возникновением оспариваемой и неоспариваемой просроченной дебиторской задолженности) со стороны потребителей услуг</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обусловлен недостаточностью существующих механизмов стимулирования потребителей услуг к своевременным расчетам за услуги по передаче электроэнергии, а также влиянием макроэкономических факторов (снижение платежеспособности потребителей)</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Общество проводит комплекс мероприятий по снижению дебиторской задолженности: рассылку потребителям уведомлений и претензий, взыскание задолженности в судебном порядке, привлечение государственных и правоохранительных органов к взысканию задолженности, реструктуризация задолженности</w:t>
            </w:r>
          </w:p>
        </w:tc>
        <w:tc>
          <w:tcPr>
            <w:tcW w:w="1276" w:type="dxa"/>
            <w:shd w:val="clear" w:color="auto" w:fill="auto"/>
          </w:tcPr>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25511</wp:posOffset>
                      </wp:positionH>
                      <wp:positionV relativeFrom="paragraph">
                        <wp:posOffset>78105</wp:posOffset>
                      </wp:positionV>
                      <wp:extent cx="269875" cy="278130"/>
                      <wp:effectExtent l="0" t="0" r="15875" b="26670"/>
                      <wp:wrapNone/>
                      <wp:docPr id="5" name="Овал 17"/>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txbx>
                              <w:txbxContent>
                                <w:p w:rsidR="00A10DA8" w:rsidRDefault="00A10D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7" o:spid="_x0000_s1026" style="position:absolute;left:0;text-align:left;margin-left:2pt;margin-top:6.15pt;width:21.25pt;height:2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" fillcolor="#ffc000" strokecolor="#b66d31" strokeweight="2pt">
                      <v:textbox>
                        <w:txbxContent>
                          <w:p w:rsidR="00A10DA8" w:rsidRDefault="00A10DA8">
                            <w:pPr>
                              <w:jc w:val="center"/>
                            </w:pPr>
                          </w:p>
                        </w:txbxContent>
                      </v:textbox>
                    </v:oval>
                  </w:pict>
                </mc:Fallback>
              </mc:AlternateContent>
            </w:r>
          </w:p>
        </w:tc>
      </w:tr>
      <w:tr w:rsidR="00A10DA8">
        <w:tc>
          <w:tcPr>
            <w:tcW w:w="9924" w:type="dxa"/>
            <w:gridSpan w:val="5"/>
            <w:shd w:val="clear" w:color="auto" w:fill="DAEEF3"/>
          </w:tcPr>
          <w:p w:rsidR="00A10DA8" w:rsidRDefault="00CA7E8A">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Страновые и региональные риски:</w: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политической и экономической ситуацией в стране и регионе</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обусловлены снижением экономической активности субъекта РФ в регионе присутствия, увеличением стоимости кредитных средств, что в свою очередь может быть вызвано нестабильностью внешних условий, международными санкциями, снижением кредитных рейтингов и ростом инфляционной нагрузки. Влияние данных факторов может привести к  сокращению выручки Общества, его акционерной стоимости.</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Расширение возможностей доступа малых и средних предприятий  к закупкам, осуществляемым в соответствии с ФЗ «О закупках товаров, работ, услуг отдельными видами юридических лиц» с целью импортозамещения сырья и оборудования</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63360" behindDoc="0" locked="0" layoutInCell="1" allowOverlap="1">
                      <wp:simplePos x="0" y="0"/>
                      <wp:positionH relativeFrom="column">
                        <wp:posOffset>-3175</wp:posOffset>
                      </wp:positionH>
                      <wp:positionV relativeFrom="paragraph">
                        <wp:posOffset>314960</wp:posOffset>
                      </wp:positionV>
                      <wp:extent cx="269875" cy="278130"/>
                      <wp:effectExtent l="0" t="0" r="15875" b="26670"/>
                      <wp:wrapNone/>
                      <wp:docPr id="6" name="Овал 18"/>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 o:spid="_x0000_s5" o:spt="3" type="#_x0000_t3" style="position:absolute;z-index:251663360;o:allowoverlap:true;o:allowincell:true;mso-position-horizontal-relative:text;margin-left:-0.25pt;mso-position-horizontal:absolute;mso-position-vertical-relative:text;margin-top:24.80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возможными конфликтами и их проявлениями, введением чрезвычайного положения и забастовками в регионах</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обусловлены возможными актами незаконного вмешательства в деятельность, включая террористические акты, в том числе представителями международного терроризма, а также националистическими элементами отдельных государств. Такие действия могут оказать негативное влияние на деятельность Общества.</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Подразделением безопасности осуществляется предотвращение неправомерных действий работников Общества и третьих лиц в отношении активов Общества путем сбора, анализа и оценки оперативной информации, выработки мер по предупреждению и пресечению возможных внутренних и внешних угроз экономической безопасности; а также посредством участия в специальных (служебных) расследованиях по фактам злоупотреблений </w:t>
            </w:r>
            <w:r>
              <w:rPr>
                <w:rFonts w:ascii="Times New Roman" w:eastAsia="Times New Roman" w:hAnsi="Times New Roman" w:cs="Times New Roman"/>
                <w:sz w:val="20"/>
                <w:szCs w:val="20"/>
                <w:lang w:eastAsia="ru-RU"/>
              </w:rPr>
              <w:lastRenderedPageBreak/>
              <w:t xml:space="preserve">(мошенничества), причинения ущерба, нецелевого, неэффективного использования ресурсов. </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g">
                  <w:drawing>
                    <wp:anchor distT="0" distB="0" distL="114300" distR="114300" simplePos="0" relativeHeight="251669504" behindDoc="0" locked="0" layoutInCell="1" allowOverlap="1">
                      <wp:simplePos x="0" y="0"/>
                      <wp:positionH relativeFrom="column">
                        <wp:posOffset>27940</wp:posOffset>
                      </wp:positionH>
                      <wp:positionV relativeFrom="paragraph">
                        <wp:posOffset>513715</wp:posOffset>
                      </wp:positionV>
                      <wp:extent cx="269875" cy="278130"/>
                      <wp:effectExtent l="0" t="0" r="15875" b="26670"/>
                      <wp:wrapNone/>
                      <wp:docPr id="7" name="Овал 30"/>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 o:spid="_x0000_s6" o:spt="3" type="#_x0000_t3" style="position:absolute;z-index:251669504;o:allowoverlap:true;o:allowincell:true;mso-position-horizontal-relative:text;margin-left:2.20pt;mso-position-horizontal:absolute;mso-position-vertical-relative:text;margin-top:40.45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географическими особенностями страны или региона, в т.ч. повышенная опасность стихийных бедствий, возможное прекращение транспортного сообщения</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обусловлены чрезвычайными ситуациями природного и климатического характера (воздействие ураганов, ливневых дождей, паводков и наводнений, снеговых завалов, обледенений, нарушение электроснабжения в результате пожаров, бытовых взрывов и т.п.). В результате может быть прервано электроснабжение, транспортное сообщение в регионе.</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В целях минимизации последствий риска группой ГО и ЧС формируется план действий, направленный на повышение готовности к ликвидации ЧС: порядок оповещения, порядок закупки и выдачи аварийно-спасательных средств.</w:t>
            </w:r>
          </w:p>
        </w:tc>
        <w:tc>
          <w:tcPr>
            <w:tcW w:w="1276" w:type="dxa"/>
            <w:shd w:val="clear" w:color="auto" w:fill="auto"/>
          </w:tcPr>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326003" cy="326003"/>
                      <wp:effectExtent l="0" t="0" r="0" b="0"/>
                      <wp:docPr id="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7"/>
                              <a:stretch/>
                            </pic:blipFill>
                            <pic:spPr bwMode="auto">
                              <a:xfrm>
                                <a:off x="0" y="0"/>
                                <a:ext cx="323268" cy="32326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25.67pt;height:25.67pt;mso-wrap-distance-left:0.00pt;mso-wrap-distance-top:0.00pt;mso-wrap-distance-right:0.00pt;mso-wrap-distance-bottom:0.00pt;" stroked="false">
                      <v:path textboxrect="0,0,0,0"/>
                      <v:imagedata r:id="rId18" o:title=""/>
                    </v:shape>
                  </w:pict>
                </mc:Fallback>
              </mc:AlternateConten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tc>
      </w:tr>
      <w:tr w:rsidR="00A10DA8">
        <w:tc>
          <w:tcPr>
            <w:tcW w:w="9924" w:type="dxa"/>
            <w:gridSpan w:val="5"/>
            <w:shd w:val="clear" w:color="auto" w:fill="DAEEF3"/>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Финансовые риски:</w:t>
            </w:r>
          </w:p>
        </w:tc>
      </w:tr>
      <w:tr w:rsidR="00A10DA8">
        <w:trPr>
          <w:trHeight w:val="3194"/>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изменениями валютных курсов</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Негативное влияние на результаты финансово-хозяйственной деятельности Общества вследствие изменения обменных курсов валют.</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iCs/>
                <w:sz w:val="20"/>
                <w:szCs w:val="20"/>
                <w:lang w:eastAsia="ru-RU"/>
              </w:rPr>
              <w:t>Общество не осуществляет деятельности на внешнем рынке. Все обязательства Общества выражены в национальной валюте Российской Федерации. В этой связи изменения валютных курсов не затрагивают деятельность Общества и, следовательно, не влекут за собой существенных рисков.</w:t>
            </w:r>
          </w:p>
        </w:tc>
        <w:tc>
          <w:tcPr>
            <w:tcW w:w="1276" w:type="dxa"/>
            <w:shd w:val="clear" w:color="auto" w:fill="auto"/>
          </w:tcPr>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326003" cy="326003"/>
                      <wp:effectExtent l="0" t="0" r="0" b="0"/>
                      <wp:docPr id="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7"/>
                              <a:stretch/>
                            </pic:blipFill>
                            <pic:spPr bwMode="auto">
                              <a:xfrm>
                                <a:off x="0" y="0"/>
                                <a:ext cx="323268" cy="32326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25.67pt;height:25.67pt;mso-wrap-distance-left:0.00pt;mso-wrap-distance-top:0.00pt;mso-wrap-distance-right:0.00pt;mso-wrap-distance-bottom:0.00pt;" stroked="false">
                      <v:path textboxrect="0,0,0,0"/>
                      <v:imagedata r:id="rId18" o:title=""/>
                    </v:shape>
                  </w:pict>
                </mc:Fallback>
              </mc:AlternateConten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tc>
      </w:tr>
      <w:tr w:rsidR="00A10DA8">
        <w:trPr>
          <w:trHeight w:val="3209"/>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изменениями процентных ставок</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Влияние на возможный рост затрат Общества по привлечению заемных средств для финансирования инвестиционных программ.</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Cs/>
                <w:iCs/>
                <w:sz w:val="20"/>
                <w:szCs w:val="20"/>
                <w:lang w:eastAsia="ru-RU"/>
              </w:rPr>
              <w:t xml:space="preserve">При осуществлении деятельности Общество не привлекает заемное финансирование на платной основе в качестве источников финансирования инвестиционной деятельности, в связи с чем данный риск является потенциальным. В отчетном периоде </w:t>
            </w:r>
            <w:r>
              <w:rPr>
                <w:rFonts w:ascii="Times New Roman" w:eastAsia="Times New Roman" w:hAnsi="Times New Roman" w:cs="Times New Roman"/>
                <w:sz w:val="20"/>
                <w:szCs w:val="20"/>
                <w:lang w:eastAsia="ru-RU"/>
              </w:rPr>
              <w:t xml:space="preserve"> риски, связанные с изменениями процентных ставок,</w:t>
            </w:r>
            <w:r>
              <w:rPr>
                <w:rFonts w:ascii="Times New Roman" w:eastAsia="Times New Roman" w:hAnsi="Times New Roman" w:cs="Times New Roman"/>
                <w:bCs/>
                <w:iCs/>
                <w:sz w:val="20"/>
                <w:szCs w:val="20"/>
                <w:lang w:eastAsia="ru-RU"/>
              </w:rPr>
              <w:t xml:space="preserve"> не оказывали влияния на деятельность Общества.</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2576" behindDoc="0" locked="0" layoutInCell="1" allowOverlap="1">
                      <wp:simplePos x="0" y="0"/>
                      <wp:positionH relativeFrom="column">
                        <wp:posOffset>-3810</wp:posOffset>
                      </wp:positionH>
                      <wp:positionV relativeFrom="paragraph">
                        <wp:posOffset>14935</wp:posOffset>
                      </wp:positionV>
                      <wp:extent cx="269875" cy="278130"/>
                      <wp:effectExtent l="0" t="0" r="15875" b="26670"/>
                      <wp:wrapNone/>
                      <wp:docPr id="10" name="Овал 19"/>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 o:spid="_x0000_s9" o:spt="3" type="#_x0000_t3" style="position:absolute;z-index:251672576;o:allowoverlap:true;o:allowincell:true;mso-position-horizontal-relative:text;margin-left:-0.30pt;mso-position-horizontal:absolute;mso-position-vertical-relative:text;margin-top:1.18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p w:rsidR="00A10DA8" w:rsidRDefault="00A10DA8">
            <w:pPr>
              <w:spacing w:after="0" w:line="240" w:lineRule="auto"/>
              <w:jc w:val="both"/>
              <w:rPr>
                <w:rFonts w:ascii="Times New Roman" w:eastAsia="Times New Roman" w:hAnsi="Times New Roman" w:cs="Times New Roman"/>
                <w:sz w:val="24"/>
                <w:szCs w:val="24"/>
                <w:lang w:eastAsia="ru-RU"/>
              </w:rPr>
            </w:pPr>
          </w:p>
        </w:tc>
      </w:tr>
      <w:tr w:rsidR="00A10DA8">
        <w:trPr>
          <w:trHeight w:val="1131"/>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влиянием инфляции</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Влияние роста индекса потребительских цен на размер процентных расходов, уровень затрат, уровень рентабельности, и, как следствие, на финансовое состояние и возможность выполнения обязательств Обществом.</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 xml:space="preserve">Общество проводит взвешенную финансовую политику, уделяя особое внимание существующим договорным отношениям с покупателями с целью сокращения объемов дебиторской задолженности. В случае существенного роста инфляции Общество намерено повышать эффективность деятельности путём </w:t>
            </w:r>
            <w:r>
              <w:rPr>
                <w:rFonts w:ascii="Times New Roman" w:eastAsia="Calibri" w:hAnsi="Times New Roman" w:cs="Times New Roman"/>
                <w:sz w:val="20"/>
                <w:szCs w:val="20"/>
                <w:lang w:eastAsia="ru-RU"/>
              </w:rPr>
              <w:lastRenderedPageBreak/>
              <w:t>снижения операционных издержек и увеличения оборачиваемости активов.</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g">
                  <w:drawing>
                    <wp:anchor distT="0" distB="0" distL="114300" distR="114300" simplePos="0" relativeHeight="251664384" behindDoc="0" locked="0" layoutInCell="1" allowOverlap="1">
                      <wp:simplePos x="0" y="0"/>
                      <wp:positionH relativeFrom="column">
                        <wp:posOffset>54610</wp:posOffset>
                      </wp:positionH>
                      <wp:positionV relativeFrom="paragraph">
                        <wp:posOffset>302895</wp:posOffset>
                      </wp:positionV>
                      <wp:extent cx="269875" cy="278130"/>
                      <wp:effectExtent l="0" t="0" r="15875" b="26670"/>
                      <wp:wrapNone/>
                      <wp:docPr id="11" name="Овал 23"/>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 o:spid="_x0000_s10" o:spt="3" type="#_x0000_t3" style="position:absolute;z-index:251664384;o:allowoverlap:true;o:allowincell:true;mso-position-horizontal-relative:text;margin-left:4.30pt;mso-position-horizontal:absolute;mso-position-vertical-relative:text;margin-top:23.85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9924" w:type="dxa"/>
            <w:gridSpan w:val="5"/>
            <w:shd w:val="clear" w:color="auto" w:fill="DAEEF3"/>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Правовые риски:</w:t>
            </w:r>
          </w:p>
        </w:tc>
      </w:tr>
      <w:tr w:rsidR="00A10DA8">
        <w:trPr>
          <w:trHeight w:val="6090"/>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Правовые риски</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изменением законодательства, судебной практики по вопросам деятельности Общества, баланса интересов с другими субъектами электроэнергетики</w:t>
            </w:r>
          </w:p>
        </w:tc>
        <w:tc>
          <w:tcPr>
            <w:tcW w:w="2444" w:type="dxa"/>
            <w:shd w:val="clear" w:color="auto" w:fill="auto"/>
          </w:tcPr>
          <w:p w:rsidR="00A10DA8" w:rsidRDefault="00CA7E8A">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Обществом осуществляется мониторинг изменений законодательства, типизация заключаемых договоров, учредительных и внутренних документов Общества в соответствие с нормами законодательства;  проведение предварительной юридической экспертизы проектов заключаемых договоров; постоянное совершенствование квалификации как сотрудников правовых подразделений, так и повышение правовой грамотности  сотрудников иных профильных подразделений</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66432" behindDoc="0" locked="0" layoutInCell="1" allowOverlap="1">
                      <wp:simplePos x="0" y="0"/>
                      <wp:positionH relativeFrom="column">
                        <wp:posOffset>140418</wp:posOffset>
                      </wp:positionH>
                      <wp:positionV relativeFrom="paragraph">
                        <wp:posOffset>404357</wp:posOffset>
                      </wp:positionV>
                      <wp:extent cx="269875" cy="278130"/>
                      <wp:effectExtent l="0" t="0" r="15875" b="26670"/>
                      <wp:wrapNone/>
                      <wp:docPr id="12" name="Овал 27"/>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 o:spid="_x0000_s11" o:spt="3" type="#_x0000_t3" style="position:absolute;z-index:251666432;o:allowoverlap:true;o:allowincell:true;mso-position-horizontal-relative:text;margin-left:11.06pt;mso-position-horizontal:absolute;mso-position-vertical-relative:text;margin-top:31.84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Комплаенс-риск</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Риски, связанные с санкциями регулирующих органов в связи с возможным несоответствием деятельности Общества требованиям законодательства, локальным нормативным актам, иным обязательным для исполнения регулирующим документам.</w:t>
            </w:r>
          </w:p>
        </w:tc>
        <w:tc>
          <w:tcPr>
            <w:tcW w:w="2444" w:type="dxa"/>
            <w:shd w:val="clear" w:color="auto" w:fill="auto"/>
          </w:tcPr>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Обществом осуществляются следующие мероприятия по управлению риском:</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1. Недопущение наличия в нормативных документах Общества положений, позволяющих совершать коррупционные действия.</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 Экспертиза принимаемых в Обществе локальных нормативных актов и ОРД на предмет отсутствия в них положений, создающих предпосылки для вовлечения в мошеннические или коррупционные действия, и отражения в них соответствующих упреждающих мер.</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3. Разработка и внедрение в Обществе локальных нормативных актов и организационных процедур по противодействию </w:t>
            </w:r>
            <w:r>
              <w:rPr>
                <w:rFonts w:ascii="Times New Roman" w:eastAsia="Calibri" w:hAnsi="Times New Roman" w:cs="Times New Roman"/>
                <w:sz w:val="20"/>
                <w:szCs w:val="20"/>
                <w:lang w:eastAsia="ru-RU"/>
              </w:rPr>
              <w:lastRenderedPageBreak/>
              <w:t>мошенничеству и коррупции. Советом директоров Общества утверждена и реализовывается Антикоррупционная политика ПАО «Россети» и ДЗО ПАО «Россети»</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4.Требование соблюдения всеми работниками Общества нормативных документов.</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5.</w:t>
            </w:r>
            <w:r>
              <w:t xml:space="preserve"> </w:t>
            </w:r>
            <w:r>
              <w:rPr>
                <w:rFonts w:ascii="Times New Roman" w:eastAsia="Calibri" w:hAnsi="Times New Roman" w:cs="Times New Roman"/>
                <w:sz w:val="20"/>
                <w:szCs w:val="20"/>
                <w:lang w:eastAsia="ru-RU"/>
              </w:rPr>
              <w:t>Проведение подразделением безопасности контрольных мероприятий:</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в отношении сотрудников, непосредственно задействованных в сборе выручки от потребителей электроэнергии;</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по осуществлению мер предупреждения, выявления и устранения причин и условий, порождающих коррупцию;</w:t>
            </w:r>
          </w:p>
          <w:p w:rsidR="00A10DA8" w:rsidRDefault="00CA7E8A">
            <w:pPr>
              <w:spacing w:after="0" w:line="240" w:lineRule="auto"/>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по предупреждению фактов ненадлежащего начисления и получения оплаты стоимости электроэнергии.</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g">
                  <w:drawing>
                    <wp:anchor distT="0" distB="0" distL="114300" distR="114300" simplePos="0" relativeHeight="251670528" behindDoc="0" locked="0" layoutInCell="1" allowOverlap="1">
                      <wp:simplePos x="0" y="0"/>
                      <wp:positionH relativeFrom="column">
                        <wp:posOffset>212425</wp:posOffset>
                      </wp:positionH>
                      <wp:positionV relativeFrom="paragraph">
                        <wp:posOffset>-19577</wp:posOffset>
                      </wp:positionV>
                      <wp:extent cx="269875" cy="278130"/>
                      <wp:effectExtent l="0" t="0" r="15875" b="26670"/>
                      <wp:wrapNone/>
                      <wp:docPr id="13" name="Овал 35"/>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 o:spid="_x0000_s12" o:spt="3" type="#_x0000_t3" style="position:absolute;z-index:251670528;o:allowoverlap:true;o:allowincell:true;mso-position-horizontal-relative:text;margin-left:16.73pt;mso-position-horizontal:absolute;mso-position-vertical-relative:text;margin-top:-1.54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9924" w:type="dxa"/>
            <w:gridSpan w:val="5"/>
            <w:shd w:val="clear" w:color="auto" w:fill="DAEEF3"/>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Риск потери деловой репутации</w: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Репутационный риск</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связан с возможным неисполнением в полном объеме обязательств по отношению к клиентам и контрагентам.</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клиентами и контрагентами Общества проводятся переговоры и работа по реструктуризации долгов, путем заключения мировых соглашений и выплат векселями.</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1552" behindDoc="0" locked="0" layoutInCell="1" allowOverlap="1">
                      <wp:simplePos x="0" y="0"/>
                      <wp:positionH relativeFrom="column">
                        <wp:posOffset>49530</wp:posOffset>
                      </wp:positionH>
                      <wp:positionV relativeFrom="paragraph">
                        <wp:posOffset>210820</wp:posOffset>
                      </wp:positionV>
                      <wp:extent cx="269875" cy="278130"/>
                      <wp:effectExtent l="0" t="0" r="15875" b="26670"/>
                      <wp:wrapNone/>
                      <wp:docPr id="14" name="Овал 37"/>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 o:spid="_x0000_s13" o:spt="3" type="#_x0000_t3" style="position:absolute;z-index:251671552;o:allowoverlap:true;o:allowincell:true;mso-position-horizontal-relative:text;margin-left:3.90pt;mso-position-horizontal:absolute;mso-position-vertical-relative:text;margin-top:16.60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c>
          <w:tcPr>
            <w:tcW w:w="9924" w:type="dxa"/>
            <w:gridSpan w:val="5"/>
            <w:shd w:val="clear" w:color="auto" w:fill="DAEEF3"/>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Риски, связанные с деятельностью Общества:</w:t>
            </w:r>
          </w:p>
        </w:tc>
      </w:tr>
      <w:tr w:rsidR="00A10DA8">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Операционно-технологический риск</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Снижение надежности энергоснабжения потребителей, обусловленное такими факторами как аварийные ситуации природного и техногенного характера, приводящие к нарушению работоспособности электросетевого оборудования; высокая доля оборудования со сверхнормативным сроком службы; невыполнение нормативно-технических требований в части превышения установленных допустимых значений технологических параметров эксплуатации электросетевого оборудования.</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минимизации данного риска в Обществе выполняются работы в соответствии с утвержденным Планом ТОиР , проводится работа с оперативным персоналом (повышение квалификации, обучение, тренинги)</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5648" behindDoc="0" locked="0" layoutInCell="1" allowOverlap="1">
                      <wp:simplePos x="0" y="0"/>
                      <wp:positionH relativeFrom="column">
                        <wp:posOffset>133674</wp:posOffset>
                      </wp:positionH>
                      <wp:positionV relativeFrom="paragraph">
                        <wp:posOffset>-11574</wp:posOffset>
                      </wp:positionV>
                      <wp:extent cx="269875" cy="278130"/>
                      <wp:effectExtent l="0" t="0" r="15875" b="26670"/>
                      <wp:wrapNone/>
                      <wp:docPr id="15" name="Овал 22"/>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4" o:spid="_x0000_s14" o:spt="3" type="#_x0000_t3" style="position:absolute;z-index:251675648;o:allowoverlap:true;o:allowincell:true;mso-position-horizontal-relative:text;margin-left:10.53pt;mso-position-horizontal:absolute;mso-position-vertical-relative:text;margin-top:-0.91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rPr>
          <w:trHeight w:val="3565"/>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15</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Инвестиционный риск</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Сокращение источников финансирования инвестиционных программ Общества в случае ухудшения его финансово-экономического состояния и, как следствие, снижение тарифной выручки при невыполнении инвестиционных программ. Нарушение плановых сроков ввода объектов инвестиционных программ в эксплуатацию по причинам неисполнения/ несвоевременного исполнения подрядчиками и поставщиками своих обязательств.</w:t>
            </w:r>
          </w:p>
        </w:tc>
        <w:tc>
          <w:tcPr>
            <w:tcW w:w="2444"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Для минимизации данного риска в Обществе разработана инвестиционная программа на 2023-2027 гг, также осуществляется строительный контроль при реализации мероприятий инвестиционной программы для предотвращения срыва сроков исполнения подрядчиками и поставщиками своих обязательств. </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4624" behindDoc="0" locked="0" layoutInCell="1" allowOverlap="1">
                      <wp:simplePos x="0" y="0"/>
                      <wp:positionH relativeFrom="column">
                        <wp:posOffset>-8890</wp:posOffset>
                      </wp:positionH>
                      <wp:positionV relativeFrom="paragraph">
                        <wp:posOffset>172720</wp:posOffset>
                      </wp:positionV>
                      <wp:extent cx="269875" cy="278130"/>
                      <wp:effectExtent l="0" t="0" r="15875" b="26670"/>
                      <wp:wrapNone/>
                      <wp:docPr id="16" name="Овал 25"/>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5" o:spid="_x0000_s15" o:spt="3" type="#_x0000_t3" style="position:absolute;z-index:251674624;o:allowoverlap:true;o:allowincell:true;mso-position-horizontal-relative:text;margin-left:-0.70pt;mso-position-horizontal:absolute;mso-position-vertical-relative:text;margin-top:13.60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r w:rsidR="00A10DA8">
        <w:trPr>
          <w:trHeight w:val="3565"/>
        </w:trPr>
        <w:tc>
          <w:tcPr>
            <w:tcW w:w="568"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2375"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неисполнения технических мероприятий Программы снижения потерь электроэнергии в электрических сетях АО «Чеченэнерго» в срок до 31.12.2026</w:t>
            </w:r>
          </w:p>
        </w:tc>
        <w:tc>
          <w:tcPr>
            <w:tcW w:w="3261" w:type="dxa"/>
            <w:shd w:val="clear" w:color="auto" w:fill="auto"/>
          </w:tcPr>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Риск возник в связи с низкой динамикой реализации мероприятий по модернизации средств учета электроэнергии.</w:t>
            </w:r>
          </w:p>
        </w:tc>
        <w:tc>
          <w:tcPr>
            <w:tcW w:w="2444" w:type="dxa"/>
            <w:shd w:val="clear" w:color="auto" w:fill="auto"/>
          </w:tcPr>
          <w:p w:rsidR="00A10DA8" w:rsidRDefault="00CA7E8A">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Для минимизации данного риска в Обществе</w:t>
            </w:r>
            <w:r>
              <w:rPr>
                <w:rFonts w:ascii="Times New Roman" w:hAnsi="Times New Roman" w:cs="Times New Roman"/>
                <w:sz w:val="20"/>
                <w:szCs w:val="20"/>
              </w:rPr>
              <w:t xml:space="preserve"> ПАО «Россети Северный Кавказ» принимаются меры по взаимодействию с подрядными организациями в рамках Штабов по реализации</w:t>
            </w:r>
            <w:r>
              <w:rPr>
                <w:rFonts w:ascii="Times New Roman" w:eastAsia="Times New Roman" w:hAnsi="Times New Roman" w:cs="Times New Roman"/>
                <w:sz w:val="20"/>
                <w:szCs w:val="20"/>
                <w:lang w:eastAsia="ru-RU"/>
              </w:rPr>
              <w:t xml:space="preserve"> Программы снижения потерь электроэнергии, а также в рамках направления претензионных писем в адрес </w:t>
            </w:r>
            <w:r>
              <w:rPr>
                <w:rFonts w:ascii="Times New Roman" w:hAnsi="Times New Roman" w:cs="Times New Roman"/>
                <w:sz w:val="20"/>
                <w:szCs w:val="20"/>
              </w:rPr>
              <w:t>подрядных организаций.</w:t>
            </w:r>
          </w:p>
          <w:p w:rsidR="00A10DA8" w:rsidRDefault="00CA7E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Подрядной организацией и </w:t>
            </w:r>
            <w:r>
              <w:rPr>
                <w:rFonts w:ascii="Times New Roman" w:eastAsia="Times New Roman" w:hAnsi="Times New Roman" w:cs="Times New Roman"/>
                <w:sz w:val="20"/>
                <w:szCs w:val="20"/>
                <w:lang w:eastAsia="ru-RU"/>
              </w:rPr>
              <w:t>АО «Чеченэнерго» подписан актуализированный график работ со сроком завершения до 30.09.2026.</w:t>
            </w:r>
          </w:p>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hAnsi="Times New Roman" w:cs="Times New Roman"/>
                <w:sz w:val="20"/>
                <w:szCs w:val="20"/>
              </w:rPr>
              <w:t>С целью обеспечения своевременной приемки уже выполненных работ исполнительным аппаратом ПАО «Россети Северный Кавказ» периодически направляются сотрудники в АО «Чеченэнерго» для оказания методологической помощи и обучения персонала, занимающегося проверкой приемо-сдаточной документации.</w:t>
            </w:r>
          </w:p>
        </w:tc>
        <w:tc>
          <w:tcPr>
            <w:tcW w:w="1276" w:type="dxa"/>
            <w:shd w:val="clear" w:color="auto" w:fill="auto"/>
          </w:tcPr>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7696" behindDoc="0" locked="0" layoutInCell="1" allowOverlap="1">
                      <wp:simplePos x="0" y="0"/>
                      <wp:positionH relativeFrom="column">
                        <wp:posOffset>-1905</wp:posOffset>
                      </wp:positionH>
                      <wp:positionV relativeFrom="paragraph">
                        <wp:posOffset>5080</wp:posOffset>
                      </wp:positionV>
                      <wp:extent cx="269875" cy="278130"/>
                      <wp:effectExtent l="0" t="0" r="15875" b="26670"/>
                      <wp:wrapNone/>
                      <wp:docPr id="17" name="Овал 7"/>
                      <wp:cNvGraphicFramePr/>
                      <a:graphic xmlns:a="http://schemas.openxmlformats.org/drawingml/2006/main">
                        <a:graphicData uri="http://schemas.microsoft.com/office/word/2010/wordprocessingShape">
                          <wps:wsp>
                            <wps:cNvSpPr/>
                            <wps:spPr bwMode="auto">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6" o:spid="_x0000_s16" o:spt="3" type="#_x0000_t3" style="position:absolute;z-index:251677696;o:allowoverlap:true;o:allowincell:true;mso-position-horizontal-relative:text;margin-left:-0.15pt;mso-position-horizontal:absolute;mso-position-vertical-relative:text;margin-top:0.40pt;mso-position-vertical:absolute;width:21.25pt;height:21.90pt;mso-wrap-distance-left:9.00pt;mso-wrap-distance-top:0.00pt;mso-wrap-distance-right:9.00pt;mso-wrap-distance-bottom:0.00pt;visibility:visible;" fillcolor="#FFC000" strokecolor="#7B4B23" strokeweight="2.00pt">
                      <v:stroke dashstyle="solid"/>
                    </v:shape>
                  </w:pict>
                </mc:Fallback>
              </mc:AlternateContent>
            </w:r>
          </w:p>
        </w:tc>
      </w:tr>
    </w:tbl>
    <w:p w:rsidR="00A10DA8" w:rsidRDefault="00A10DA8">
      <w:pPr>
        <w:spacing w:after="0" w:line="240" w:lineRule="auto"/>
        <w:jc w:val="center"/>
        <w:rPr>
          <w:rFonts w:ascii="Times New Roman" w:eastAsia="Calibri" w:hAnsi="Times New Roman" w:cs="Times New Roman"/>
          <w:b/>
          <w:sz w:val="24"/>
          <w:szCs w:val="24"/>
          <w:lang w:eastAsia="ru-RU"/>
        </w:rPr>
      </w:pPr>
    </w:p>
    <w:p w:rsidR="00A10DA8" w:rsidRDefault="00CA7E8A">
      <w:pPr>
        <w:spacing w:after="0" w:line="240" w:lineRule="auto"/>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Карта (радар) ключевых рисков Общества</w:t>
      </w:r>
    </w:p>
    <w:p w:rsidR="00A10DA8" w:rsidRDefault="00CA7E8A">
      <w:pPr>
        <w:spacing w:after="0" w:line="240" w:lineRule="auto"/>
        <w:ind w:right="-142"/>
        <w:contextualSpacing/>
        <w:jc w:val="both"/>
        <w:rPr>
          <w:rFonts w:ascii="Times New Roman" w:eastAsia="Times New Roman" w:hAnsi="Times New Roman" w:cs="Times New Roman"/>
          <w:sz w:val="24"/>
          <w:szCs w:val="24"/>
          <w:lang w:eastAsia="ru-RU"/>
        </w:rPr>
      </w:pPr>
      <w:r>
        <w:rPr>
          <w:rFonts w:ascii="Calibri" w:eastAsia="Calibri" w:hAnsi="Calibri" w:cs="Times New Roman"/>
          <w:noProof/>
          <w:sz w:val="24"/>
          <w:szCs w:val="24"/>
          <w:lang w:eastAsia="ru-RU"/>
        </w:rPr>
        <w:lastRenderedPageBreak/>
        <w:drawing>
          <wp:inline distT="0" distB="0" distL="0" distR="0">
            <wp:extent cx="5939790" cy="3935095"/>
            <wp:effectExtent l="0" t="0" r="3810" b="8255"/>
            <wp:docPr id="18"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10DA8" w:rsidRDefault="00A10DA8">
      <w:pPr>
        <w:pStyle w:val="1"/>
        <w:ind w:firstLine="709"/>
      </w:pPr>
    </w:p>
    <w:p w:rsidR="00A10DA8" w:rsidRDefault="00CA7E8A">
      <w:pPr>
        <w:pStyle w:val="1"/>
        <w:ind w:firstLine="709"/>
        <w:rPr>
          <w:b w:val="0"/>
          <w:bCs w:val="0"/>
        </w:rPr>
      </w:pPr>
      <w:bookmarkStart w:id="13" w:name="_Toc195780413"/>
      <w:r>
        <w:t>Результаты деятельности за 2024 год</w:t>
      </w:r>
      <w:bookmarkEnd w:id="12"/>
      <w:bookmarkEnd w:id="13"/>
    </w:p>
    <w:p w:rsidR="00A10DA8" w:rsidRDefault="00A10DA8">
      <w:pPr>
        <w:pStyle w:val="2"/>
        <w:ind w:right="-143" w:firstLine="709"/>
        <w:rPr>
          <w:sz w:val="24"/>
        </w:rPr>
      </w:pPr>
    </w:p>
    <w:p w:rsidR="00A10DA8" w:rsidRDefault="00CA7E8A">
      <w:pPr>
        <w:pStyle w:val="1"/>
        <w:ind w:firstLine="709"/>
      </w:pPr>
      <w:bookmarkStart w:id="14" w:name="_Toc195780414"/>
      <w:r>
        <w:t>Операционные результаты за 2024 год</w:t>
      </w:r>
      <w:bookmarkEnd w:id="14"/>
    </w:p>
    <w:p w:rsidR="00A10DA8" w:rsidRDefault="00A10DA8">
      <w:pPr>
        <w:tabs>
          <w:tab w:val="left" w:pos="993"/>
        </w:tabs>
        <w:spacing w:after="0" w:line="240" w:lineRule="auto"/>
        <w:ind w:firstLine="709"/>
        <w:jc w:val="both"/>
        <w:rPr>
          <w:rFonts w:ascii="Times New Roman" w:hAnsi="Times New Roman" w:cs="Times New Roman"/>
          <w:sz w:val="24"/>
          <w:szCs w:val="24"/>
        </w:rPr>
      </w:pP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4106"/>
        <w:gridCol w:w="1134"/>
        <w:gridCol w:w="1588"/>
      </w:tblGrid>
      <w:tr w:rsidR="00A10DA8">
        <w:trPr>
          <w:trHeight w:val="298"/>
          <w:jc w:val="center"/>
        </w:trPr>
        <w:tc>
          <w:tcPr>
            <w:tcW w:w="2126" w:type="dxa"/>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Отпуск электрической энергии в сеть, млн кВт∙ч</w:t>
            </w:r>
          </w:p>
        </w:tc>
        <w:tc>
          <w:tcPr>
            <w:tcW w:w="4106" w:type="dxa"/>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Отпуск электрической энергии из сети потребителям и смежным ТСО в границах балансовой и эксплуатационной ответственности, млн кВт∙ч</w:t>
            </w:r>
          </w:p>
        </w:tc>
        <w:tc>
          <w:tcPr>
            <w:tcW w:w="2722" w:type="dxa"/>
            <w:gridSpan w:val="2"/>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Потери</w:t>
            </w:r>
          </w:p>
        </w:tc>
      </w:tr>
      <w:tr w:rsidR="00A10DA8">
        <w:trPr>
          <w:trHeight w:val="297"/>
          <w:jc w:val="center"/>
        </w:trPr>
        <w:tc>
          <w:tcPr>
            <w:tcW w:w="2126" w:type="dxa"/>
            <w:vMerge/>
            <w:shd w:val="clear" w:color="auto" w:fill="auto"/>
            <w:vAlign w:val="center"/>
          </w:tcPr>
          <w:p w:rsidR="00A10DA8" w:rsidRDefault="00A10DA8">
            <w:pPr>
              <w:spacing w:after="0" w:line="240" w:lineRule="auto"/>
              <w:jc w:val="center"/>
              <w:rPr>
                <w:rFonts w:ascii="Times New Roman" w:eastAsia="Times New Roman" w:hAnsi="Times New Roman" w:cs="Times New Roman"/>
                <w:b/>
                <w:sz w:val="20"/>
                <w:szCs w:val="20"/>
                <w:lang w:eastAsia="ru-RU"/>
              </w:rPr>
            </w:pPr>
          </w:p>
        </w:tc>
        <w:tc>
          <w:tcPr>
            <w:tcW w:w="4106" w:type="dxa"/>
            <w:vMerge/>
            <w:shd w:val="clear" w:color="auto" w:fill="auto"/>
            <w:vAlign w:val="center"/>
          </w:tcPr>
          <w:p w:rsidR="00A10DA8" w:rsidRDefault="00A10DA8">
            <w:pPr>
              <w:spacing w:after="0" w:line="240" w:lineRule="auto"/>
              <w:jc w:val="center"/>
              <w:rPr>
                <w:rFonts w:ascii="Times New Roman" w:eastAsia="Times New Roman" w:hAnsi="Times New Roman" w:cs="Times New Roman"/>
                <w:b/>
                <w:sz w:val="20"/>
                <w:szCs w:val="20"/>
                <w:lang w:eastAsia="ru-RU"/>
              </w:rPr>
            </w:pPr>
          </w:p>
        </w:tc>
        <w:tc>
          <w:tcPr>
            <w:tcW w:w="1134" w:type="dxa"/>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млн кВт∙ч</w:t>
            </w:r>
          </w:p>
        </w:tc>
        <w:tc>
          <w:tcPr>
            <w:tcW w:w="1588" w:type="dxa"/>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w:t>
            </w:r>
          </w:p>
        </w:tc>
      </w:tr>
      <w:tr w:rsidR="00A10DA8">
        <w:trPr>
          <w:trHeight w:val="147"/>
          <w:jc w:val="center"/>
        </w:trPr>
        <w:tc>
          <w:tcPr>
            <w:tcW w:w="2126" w:type="dxa"/>
            <w:shd w:val="clear" w:color="auto" w:fill="auto"/>
          </w:tcPr>
          <w:p w:rsidR="00A10DA8" w:rsidRDefault="00CA7E8A">
            <w:pPr>
              <w:jc w:val="center"/>
              <w:rPr>
                <w:rFonts w:ascii="Times New Roman" w:hAnsi="Times New Roman" w:cs="Times New Roman"/>
                <w:color w:val="000000"/>
                <w:sz w:val="20"/>
                <w:szCs w:val="20"/>
              </w:rPr>
            </w:pPr>
            <w:r>
              <w:rPr>
                <w:rFonts w:ascii="Times New Roman" w:hAnsi="Times New Roman" w:cs="Times New Roman"/>
                <w:sz w:val="20"/>
              </w:rPr>
              <w:t>3 631</w:t>
            </w:r>
          </w:p>
        </w:tc>
        <w:tc>
          <w:tcPr>
            <w:tcW w:w="4106" w:type="dxa"/>
            <w:shd w:val="clear" w:color="auto" w:fill="auto"/>
          </w:tcPr>
          <w:p w:rsidR="00A10DA8" w:rsidRDefault="00CA7E8A">
            <w:pPr>
              <w:jc w:val="center"/>
              <w:rPr>
                <w:rFonts w:ascii="Times New Roman" w:hAnsi="Times New Roman" w:cs="Times New Roman"/>
                <w:color w:val="000000"/>
                <w:sz w:val="20"/>
                <w:szCs w:val="20"/>
              </w:rPr>
            </w:pPr>
            <w:r>
              <w:rPr>
                <w:rFonts w:ascii="Times New Roman" w:hAnsi="Times New Roman" w:cs="Times New Roman"/>
                <w:sz w:val="20"/>
              </w:rPr>
              <w:t>2 352</w:t>
            </w:r>
          </w:p>
        </w:tc>
        <w:tc>
          <w:tcPr>
            <w:tcW w:w="1134" w:type="dxa"/>
            <w:shd w:val="clear" w:color="auto" w:fill="auto"/>
          </w:tcPr>
          <w:p w:rsidR="00A10DA8" w:rsidRDefault="00CA7E8A">
            <w:pPr>
              <w:jc w:val="center"/>
              <w:rPr>
                <w:rFonts w:ascii="Times New Roman" w:hAnsi="Times New Roman" w:cs="Times New Roman"/>
                <w:color w:val="000000"/>
                <w:sz w:val="20"/>
                <w:szCs w:val="20"/>
              </w:rPr>
            </w:pPr>
            <w:r>
              <w:rPr>
                <w:rFonts w:ascii="Times New Roman" w:hAnsi="Times New Roman" w:cs="Times New Roman"/>
                <w:sz w:val="20"/>
              </w:rPr>
              <w:t>1 280</w:t>
            </w:r>
          </w:p>
        </w:tc>
        <w:tc>
          <w:tcPr>
            <w:tcW w:w="1588" w:type="dxa"/>
            <w:shd w:val="clear" w:color="auto" w:fill="auto"/>
          </w:tcPr>
          <w:p w:rsidR="00A10DA8" w:rsidRDefault="00CA7E8A">
            <w:pPr>
              <w:tabs>
                <w:tab w:val="left" w:pos="375"/>
                <w:tab w:val="center" w:pos="686"/>
              </w:tabs>
              <w:jc w:val="center"/>
              <w:rPr>
                <w:rFonts w:ascii="Times New Roman" w:hAnsi="Times New Roman" w:cs="Times New Roman"/>
                <w:color w:val="000000"/>
                <w:sz w:val="20"/>
                <w:szCs w:val="20"/>
              </w:rPr>
            </w:pPr>
            <w:r>
              <w:rPr>
                <w:rFonts w:ascii="Times New Roman" w:hAnsi="Times New Roman" w:cs="Times New Roman"/>
                <w:sz w:val="20"/>
              </w:rPr>
              <w:t>35,24</w:t>
            </w:r>
          </w:p>
        </w:tc>
      </w:tr>
    </w:tbl>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итогам работы АО «Чеченэнерго» в 2024 году объем отпуска электрической энергии из сети потребителям и смежным ТСО в границах балансовой и эксплуатационной ответственности составил 2 352 млн кВт∙ч, что в сравнении с показателями 2023 года (2</w:t>
      </w:r>
      <w:r>
        <w:rPr>
          <w:rFonts w:ascii="Times New Roman" w:hAnsi="Times New Roman" w:cs="Times New Roman"/>
          <w:sz w:val="24"/>
          <w:szCs w:val="24"/>
          <w:lang w:val="en-US"/>
        </w:rPr>
        <w:t> </w:t>
      </w:r>
      <w:r>
        <w:rPr>
          <w:rFonts w:ascii="Times New Roman" w:hAnsi="Times New Roman" w:cs="Times New Roman"/>
          <w:sz w:val="24"/>
          <w:szCs w:val="24"/>
        </w:rPr>
        <w:t>156 млн кВт∙ч) на 196 млн кВт∙ч, или 9,01 % больше.</w:t>
      </w:r>
    </w:p>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Фактические потери электрической энергии в 2023-2024 гг.</w:t>
      </w:r>
    </w:p>
    <w:tbl>
      <w:tblPr>
        <w:tblW w:w="34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854"/>
        <w:gridCol w:w="1275"/>
        <w:gridCol w:w="852"/>
        <w:gridCol w:w="1275"/>
        <w:gridCol w:w="850"/>
      </w:tblGrid>
      <w:tr w:rsidR="00A10DA8">
        <w:trPr>
          <w:trHeight w:val="330"/>
          <w:jc w:val="center"/>
        </w:trPr>
        <w:tc>
          <w:tcPr>
            <w:tcW w:w="5000" w:type="pct"/>
            <w:gridSpan w:val="6"/>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Потери электрической энергии</w:t>
            </w:r>
          </w:p>
        </w:tc>
      </w:tr>
      <w:tr w:rsidR="00A10DA8">
        <w:trPr>
          <w:trHeight w:val="330"/>
          <w:jc w:val="center"/>
        </w:trPr>
        <w:tc>
          <w:tcPr>
            <w:tcW w:w="1665" w:type="pct"/>
            <w:gridSpan w:val="2"/>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Факт 2023 г.</w:t>
            </w:r>
          </w:p>
        </w:tc>
        <w:tc>
          <w:tcPr>
            <w:tcW w:w="1668" w:type="pct"/>
            <w:gridSpan w:val="2"/>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Факт 2024 г.</w:t>
            </w:r>
          </w:p>
        </w:tc>
        <w:tc>
          <w:tcPr>
            <w:tcW w:w="1667" w:type="pct"/>
            <w:gridSpan w:val="2"/>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Изменение</w:t>
            </w:r>
          </w:p>
        </w:tc>
      </w:tr>
      <w:tr w:rsidR="00A10DA8">
        <w:trPr>
          <w:trHeight w:val="330"/>
          <w:jc w:val="center"/>
        </w:trPr>
        <w:tc>
          <w:tcPr>
            <w:tcW w:w="995"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млн кВт</w:t>
            </w:r>
            <w:r>
              <w:rPr>
                <w:rFonts w:ascii="Times New Roman" w:eastAsia="Times New Roman" w:hAnsi="Times New Roman" w:cs="Times New Roman"/>
                <w:b/>
                <w:sz w:val="20"/>
                <w:szCs w:val="20"/>
                <w:lang w:eastAsia="ru-RU"/>
              </w:rPr>
              <w:t>∙</w:t>
            </w:r>
            <w:r>
              <w:rPr>
                <w:rFonts w:ascii="Times New Roman" w:eastAsia="Times New Roman" w:hAnsi="Times New Roman" w:cs="Times New Roman"/>
                <w:b/>
                <w:color w:val="000000"/>
                <w:sz w:val="20"/>
                <w:szCs w:val="20"/>
                <w:lang w:eastAsia="ru-RU"/>
              </w:rPr>
              <w:t>ч</w:t>
            </w:r>
          </w:p>
        </w:tc>
        <w:tc>
          <w:tcPr>
            <w:tcW w:w="669"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w:t>
            </w:r>
          </w:p>
        </w:tc>
        <w:tc>
          <w:tcPr>
            <w:tcW w:w="1000"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млн кВт</w:t>
            </w:r>
            <w:r>
              <w:rPr>
                <w:rFonts w:ascii="Times New Roman" w:eastAsia="Times New Roman" w:hAnsi="Times New Roman" w:cs="Times New Roman"/>
                <w:b/>
                <w:sz w:val="20"/>
                <w:szCs w:val="20"/>
                <w:lang w:eastAsia="ru-RU"/>
              </w:rPr>
              <w:t>∙</w:t>
            </w:r>
            <w:r>
              <w:rPr>
                <w:rFonts w:ascii="Times New Roman" w:eastAsia="Times New Roman" w:hAnsi="Times New Roman" w:cs="Times New Roman"/>
                <w:b/>
                <w:color w:val="000000"/>
                <w:sz w:val="20"/>
                <w:szCs w:val="20"/>
                <w:lang w:eastAsia="ru-RU"/>
              </w:rPr>
              <w:t>ч</w:t>
            </w:r>
          </w:p>
        </w:tc>
        <w:tc>
          <w:tcPr>
            <w:tcW w:w="668"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w:t>
            </w:r>
          </w:p>
        </w:tc>
        <w:tc>
          <w:tcPr>
            <w:tcW w:w="1000"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млн кВт</w:t>
            </w:r>
            <w:r>
              <w:rPr>
                <w:rFonts w:ascii="Times New Roman" w:eastAsia="Times New Roman" w:hAnsi="Times New Roman" w:cs="Times New Roman"/>
                <w:b/>
                <w:sz w:val="20"/>
                <w:szCs w:val="20"/>
                <w:lang w:eastAsia="ru-RU"/>
              </w:rPr>
              <w:t>∙</w:t>
            </w:r>
            <w:r>
              <w:rPr>
                <w:rFonts w:ascii="Times New Roman" w:eastAsia="Times New Roman" w:hAnsi="Times New Roman" w:cs="Times New Roman"/>
                <w:b/>
                <w:color w:val="000000"/>
                <w:sz w:val="20"/>
                <w:szCs w:val="20"/>
                <w:lang w:eastAsia="ru-RU"/>
              </w:rPr>
              <w:t>ч</w:t>
            </w:r>
          </w:p>
        </w:tc>
        <w:tc>
          <w:tcPr>
            <w:tcW w:w="667" w:type="pct"/>
            <w:shd w:val="clear" w:color="auto" w:fill="auto"/>
            <w:vAlign w:val="center"/>
          </w:tcPr>
          <w:p w:rsidR="00A10DA8" w:rsidRDefault="00CA7E8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п.п.</w:t>
            </w:r>
          </w:p>
        </w:tc>
      </w:tr>
      <w:tr w:rsidR="00A10DA8">
        <w:trPr>
          <w:trHeight w:val="330"/>
          <w:jc w:val="center"/>
        </w:trPr>
        <w:tc>
          <w:tcPr>
            <w:tcW w:w="995"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1 174</w:t>
            </w:r>
          </w:p>
        </w:tc>
        <w:tc>
          <w:tcPr>
            <w:tcW w:w="669"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35,26</w:t>
            </w:r>
          </w:p>
        </w:tc>
        <w:tc>
          <w:tcPr>
            <w:tcW w:w="100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1 280</w:t>
            </w:r>
          </w:p>
        </w:tc>
        <w:tc>
          <w:tcPr>
            <w:tcW w:w="668"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35,24</w:t>
            </w:r>
          </w:p>
        </w:tc>
        <w:tc>
          <w:tcPr>
            <w:tcW w:w="100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106</w:t>
            </w:r>
          </w:p>
        </w:tc>
        <w:tc>
          <w:tcPr>
            <w:tcW w:w="667"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4"/>
                <w:lang w:eastAsia="ru-RU"/>
              </w:rPr>
              <w:t>-0,02</w:t>
            </w:r>
          </w:p>
        </w:tc>
      </w:tr>
    </w:tbl>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Фактические потери электрической энергии в электрических сетях АО «Чеченэнерго» составили 1 174 млн кВт∙ч, или 35,26 % от отпуска в сеть. По сравнению с аналогичным периодом предыдущего года при росте отпуска в сеть на 9,06 %, рост потерь электрической энергии составил 106 млн кВт∙ч, или -0,02 процентных пунктов.</w:t>
      </w:r>
    </w:p>
    <w:p w:rsidR="00A10DA8" w:rsidRDefault="00CA7E8A">
      <w:pPr>
        <w:tabs>
          <w:tab w:val="left" w:pos="993"/>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Основные причины</w:t>
      </w:r>
      <w:r>
        <w:t xml:space="preserve"> </w:t>
      </w:r>
      <w:r>
        <w:rPr>
          <w:rFonts w:ascii="Times New Roman" w:hAnsi="Times New Roman" w:cs="Times New Roman"/>
          <w:sz w:val="24"/>
          <w:szCs w:val="24"/>
        </w:rPr>
        <w:t xml:space="preserve">роста потерь электрической энергии: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рост нагрузочных потерь в связи с приростом отпуска электроэнергии в сеть;</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неисполнение организационных мероприятий по снижению потерь;</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значительный выход из строя приборов учета;</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сдвиг сроков выполнения технических мероприятий, предусмотренных Программой снижения потерь электроэнергии.</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9D2295" w:rsidRDefault="009D2295" w:rsidP="009D2295">
      <w:pPr>
        <w:pStyle w:val="aff"/>
        <w:tabs>
          <w:tab w:val="left" w:pos="993"/>
        </w:tabs>
        <w:ind w:left="0" w:right="-2" w:firstLine="709"/>
        <w:jc w:val="both"/>
        <w:rPr>
          <w:rFonts w:ascii="Times New Roman" w:hAnsi="Times New Roman" w:cs="Times New Roman"/>
          <w:sz w:val="24"/>
          <w:szCs w:val="24"/>
        </w:rPr>
      </w:pPr>
      <w:r>
        <w:rPr>
          <w:rFonts w:ascii="Times New Roman" w:hAnsi="Times New Roman" w:cs="Times New Roman"/>
          <w:b/>
          <w:sz w:val="24"/>
          <w:szCs w:val="24"/>
        </w:rPr>
        <w:t>Производственные показатели (количество подстанций, мощность подстанций, протяженность ЛЭП по цепям) и повышение надежности электросетевого комплекса (показатели надежности электросетевого комплекса (Пsaidi, Пsaifi), количество технологических нарушений (аварий) в сети 110 кВ и выше</w:t>
      </w:r>
    </w:p>
    <w:p w:rsidR="009D2295" w:rsidRDefault="009D2295" w:rsidP="009D2295">
      <w:pPr>
        <w:pStyle w:val="aff"/>
        <w:tabs>
          <w:tab w:val="left" w:pos="993"/>
        </w:tabs>
        <w:ind w:left="0" w:right="-143" w:firstLine="709"/>
        <w:jc w:val="both"/>
        <w:rPr>
          <w:rFonts w:ascii="Times New Roman" w:hAnsi="Times New Roman" w:cs="Times New Roman"/>
          <w:sz w:val="24"/>
          <w:szCs w:val="24"/>
        </w:rPr>
      </w:pP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0"/>
        <w:gridCol w:w="1276"/>
        <w:gridCol w:w="1134"/>
        <w:gridCol w:w="1032"/>
        <w:gridCol w:w="953"/>
        <w:gridCol w:w="1136"/>
        <w:gridCol w:w="12"/>
      </w:tblGrid>
      <w:tr w:rsidR="009D2295" w:rsidTr="00C61083">
        <w:trPr>
          <w:gridAfter w:val="1"/>
          <w:wAfter w:w="12" w:type="dxa"/>
          <w:cantSplit/>
          <w:trHeight w:val="165"/>
          <w:jc w:val="center"/>
        </w:trPr>
        <w:tc>
          <w:tcPr>
            <w:tcW w:w="4390" w:type="dxa"/>
            <w:vMerge w:val="restart"/>
            <w:tcMar>
              <w:top w:w="0" w:type="dxa"/>
              <w:left w:w="108" w:type="dxa"/>
              <w:bottom w:w="0" w:type="dxa"/>
              <w:right w:w="108" w:type="dxa"/>
            </w:tcMar>
            <w:vAlign w:val="center"/>
          </w:tcPr>
          <w:p w:rsidR="009D2295" w:rsidRDefault="009D2295" w:rsidP="00C61083">
            <w:pPr>
              <w:spacing w:after="0" w:line="240" w:lineRule="auto"/>
              <w:ind w:left="-113" w:right="-114"/>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Показатели</w:t>
            </w:r>
          </w:p>
        </w:tc>
        <w:tc>
          <w:tcPr>
            <w:tcW w:w="1276" w:type="dxa"/>
            <w:vMerge w:val="restart"/>
            <w:tcMar>
              <w:top w:w="0" w:type="dxa"/>
              <w:left w:w="108" w:type="dxa"/>
              <w:bottom w:w="0" w:type="dxa"/>
              <w:right w:w="108" w:type="dxa"/>
            </w:tcMar>
            <w:vAlign w:val="center"/>
          </w:tcPr>
          <w:p w:rsidR="009D2295" w:rsidRDefault="009D2295" w:rsidP="00C61083">
            <w:pPr>
              <w:spacing w:after="0" w:line="240" w:lineRule="auto"/>
              <w:ind w:left="-111" w:right="-112"/>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Ед. изм.</w:t>
            </w:r>
          </w:p>
        </w:tc>
        <w:tc>
          <w:tcPr>
            <w:tcW w:w="4255" w:type="dxa"/>
            <w:gridSpan w:val="4"/>
            <w:tcMar>
              <w:top w:w="0" w:type="dxa"/>
              <w:left w:w="108" w:type="dxa"/>
              <w:bottom w:w="0" w:type="dxa"/>
              <w:right w:w="108" w:type="dxa"/>
            </w:tcMar>
            <w:vAlign w:val="center"/>
          </w:tcPr>
          <w:p w:rsidR="009D2295" w:rsidRDefault="009D2295" w:rsidP="00C61083">
            <w:pPr>
              <w:spacing w:after="0" w:line="240" w:lineRule="auto"/>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Период</w:t>
            </w:r>
          </w:p>
        </w:tc>
      </w:tr>
      <w:tr w:rsidR="009D2295" w:rsidTr="00C61083">
        <w:trPr>
          <w:gridAfter w:val="1"/>
          <w:wAfter w:w="12" w:type="dxa"/>
          <w:cantSplit/>
          <w:jc w:val="center"/>
        </w:trPr>
        <w:tc>
          <w:tcPr>
            <w:tcW w:w="4390" w:type="dxa"/>
            <w:vMerge/>
            <w:vAlign w:val="center"/>
          </w:tcPr>
          <w:p w:rsidR="009D2295" w:rsidRDefault="009D2295" w:rsidP="00C61083">
            <w:pPr>
              <w:spacing w:after="0" w:line="240" w:lineRule="auto"/>
              <w:rPr>
                <w:rFonts w:ascii="Times New Roman" w:hAnsi="Times New Roman" w:cs="Times New Roman"/>
                <w:b/>
                <w:bCs/>
                <w:color w:val="000000"/>
                <w:sz w:val="20"/>
                <w:szCs w:val="20"/>
                <w:lang w:eastAsia="ru-RU"/>
              </w:rPr>
            </w:pPr>
          </w:p>
        </w:tc>
        <w:tc>
          <w:tcPr>
            <w:tcW w:w="1276" w:type="dxa"/>
            <w:vMerge/>
            <w:vAlign w:val="center"/>
          </w:tcPr>
          <w:p w:rsidR="009D2295" w:rsidRDefault="009D2295" w:rsidP="00C61083">
            <w:pPr>
              <w:spacing w:after="0" w:line="240" w:lineRule="auto"/>
              <w:rPr>
                <w:rFonts w:ascii="Times New Roman" w:hAnsi="Times New Roman" w:cs="Times New Roman"/>
                <w:b/>
                <w:bCs/>
                <w:color w:val="000000"/>
                <w:sz w:val="20"/>
                <w:szCs w:val="20"/>
                <w:lang w:eastAsia="ru-RU"/>
              </w:rPr>
            </w:pPr>
          </w:p>
        </w:tc>
        <w:tc>
          <w:tcPr>
            <w:tcW w:w="1134" w:type="dxa"/>
            <w:tcMar>
              <w:top w:w="0" w:type="dxa"/>
              <w:left w:w="108" w:type="dxa"/>
              <w:bottom w:w="0" w:type="dxa"/>
              <w:right w:w="108" w:type="dxa"/>
            </w:tcMar>
          </w:tcPr>
          <w:p w:rsidR="009D2295" w:rsidRDefault="009D2295" w:rsidP="00C61083">
            <w:pPr>
              <w:spacing w:after="0" w:line="240" w:lineRule="auto"/>
              <w:ind w:left="-96" w:right="-122"/>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2022 г.</w:t>
            </w:r>
          </w:p>
          <w:p w:rsidR="009D2295" w:rsidRDefault="009D2295" w:rsidP="00C61083">
            <w:pPr>
              <w:spacing w:after="0" w:line="240" w:lineRule="auto"/>
              <w:ind w:left="-96" w:right="-122"/>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факт</w:t>
            </w:r>
          </w:p>
        </w:tc>
        <w:tc>
          <w:tcPr>
            <w:tcW w:w="1032" w:type="dxa"/>
            <w:tcMar>
              <w:top w:w="0" w:type="dxa"/>
              <w:left w:w="108" w:type="dxa"/>
              <w:bottom w:w="0" w:type="dxa"/>
              <w:right w:w="108" w:type="dxa"/>
            </w:tcMar>
          </w:tcPr>
          <w:p w:rsidR="009D2295" w:rsidRDefault="009D2295" w:rsidP="00C61083">
            <w:pPr>
              <w:spacing w:after="0" w:line="240" w:lineRule="auto"/>
              <w:ind w:left="-113" w:right="-138"/>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2023 г.</w:t>
            </w:r>
          </w:p>
          <w:p w:rsidR="009D2295" w:rsidRDefault="009D2295" w:rsidP="00C61083">
            <w:pPr>
              <w:spacing w:after="0" w:line="240" w:lineRule="auto"/>
              <w:ind w:left="-113" w:right="-138"/>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факт</w:t>
            </w:r>
          </w:p>
        </w:tc>
        <w:tc>
          <w:tcPr>
            <w:tcW w:w="953" w:type="dxa"/>
            <w:tcMar>
              <w:top w:w="0" w:type="dxa"/>
              <w:left w:w="108" w:type="dxa"/>
              <w:bottom w:w="0" w:type="dxa"/>
              <w:right w:w="108" w:type="dxa"/>
            </w:tcMar>
          </w:tcPr>
          <w:p w:rsidR="009D2295" w:rsidRDefault="009D2295" w:rsidP="00C61083">
            <w:pPr>
              <w:spacing w:after="0" w:line="240" w:lineRule="auto"/>
              <w:ind w:left="-119" w:right="-143"/>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2024 г.</w:t>
            </w:r>
          </w:p>
          <w:p w:rsidR="009D2295" w:rsidRDefault="009D2295" w:rsidP="00C61083">
            <w:pPr>
              <w:spacing w:after="0" w:line="240" w:lineRule="auto"/>
              <w:ind w:left="-119" w:right="-143"/>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факт</w:t>
            </w:r>
          </w:p>
        </w:tc>
        <w:tc>
          <w:tcPr>
            <w:tcW w:w="1136" w:type="dxa"/>
            <w:tcMar>
              <w:top w:w="0" w:type="dxa"/>
              <w:left w:w="108" w:type="dxa"/>
              <w:bottom w:w="0" w:type="dxa"/>
              <w:right w:w="108" w:type="dxa"/>
            </w:tcMar>
          </w:tcPr>
          <w:p w:rsidR="009D2295" w:rsidRDefault="009D2295" w:rsidP="00C61083">
            <w:pPr>
              <w:spacing w:after="0" w:line="240" w:lineRule="auto"/>
              <w:ind w:left="-107" w:right="-143"/>
              <w:jc w:val="center"/>
              <w:rPr>
                <w:rFonts w:ascii="Times New Roman" w:hAnsi="Times New Roman" w:cs="Times New Roman"/>
                <w:b/>
                <w:bCs/>
                <w:color w:val="000000"/>
                <w:sz w:val="20"/>
                <w:szCs w:val="20"/>
                <w:lang w:eastAsia="ru-RU"/>
              </w:rPr>
            </w:pPr>
            <w:r>
              <w:rPr>
                <w:rFonts w:ascii="Times New Roman" w:hAnsi="Times New Roman" w:cs="Times New Roman"/>
                <w:b/>
                <w:bCs/>
                <w:color w:val="000000"/>
                <w:sz w:val="20"/>
                <w:szCs w:val="20"/>
                <w:lang w:eastAsia="ru-RU"/>
              </w:rPr>
              <w:t>изменение 2024/2023, %</w:t>
            </w:r>
          </w:p>
        </w:tc>
      </w:tr>
      <w:tr w:rsidR="009D2295" w:rsidTr="00C61083">
        <w:trPr>
          <w:gridAfter w:val="1"/>
          <w:wAfter w:w="12" w:type="dxa"/>
          <w:cantSplit/>
          <w:jc w:val="center"/>
        </w:trPr>
        <w:tc>
          <w:tcPr>
            <w:tcW w:w="4390" w:type="dxa"/>
            <w:tcMar>
              <w:top w:w="0" w:type="dxa"/>
              <w:left w:w="108" w:type="dxa"/>
              <w:bottom w:w="0" w:type="dxa"/>
              <w:right w:w="108" w:type="dxa"/>
            </w:tcMar>
            <w:vAlign w:val="center"/>
          </w:tcPr>
          <w:p w:rsidR="009D2295" w:rsidRDefault="009D2295" w:rsidP="00C61083">
            <w:pPr>
              <w:spacing w:after="0" w:line="240" w:lineRule="auto"/>
              <w:ind w:right="-143"/>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Количество подстанций (ПС, ТП, РП)</w:t>
            </w:r>
          </w:p>
        </w:tc>
        <w:tc>
          <w:tcPr>
            <w:tcW w:w="1276" w:type="dxa"/>
            <w:tcMar>
              <w:top w:w="0" w:type="dxa"/>
              <w:left w:w="108" w:type="dxa"/>
              <w:bottom w:w="0" w:type="dxa"/>
              <w:right w:w="108" w:type="dxa"/>
            </w:tcMar>
            <w:vAlign w:val="center"/>
          </w:tcPr>
          <w:p w:rsidR="009D2295" w:rsidRDefault="009D2295" w:rsidP="00C61083">
            <w:pPr>
              <w:spacing w:after="0" w:line="240" w:lineRule="auto"/>
              <w:ind w:left="426" w:right="-143" w:hanging="426"/>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шт.</w:t>
            </w:r>
          </w:p>
        </w:tc>
        <w:tc>
          <w:tcPr>
            <w:tcW w:w="1134" w:type="dxa"/>
            <w:tcMar>
              <w:top w:w="0" w:type="dxa"/>
              <w:left w:w="108" w:type="dxa"/>
              <w:bottom w:w="0" w:type="dxa"/>
              <w:right w:w="108" w:type="dxa"/>
            </w:tcMar>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183</w:t>
            </w:r>
          </w:p>
        </w:tc>
        <w:tc>
          <w:tcPr>
            <w:tcW w:w="1032"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522</w:t>
            </w:r>
          </w:p>
        </w:tc>
        <w:tc>
          <w:tcPr>
            <w:tcW w:w="953"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618</w:t>
            </w:r>
          </w:p>
        </w:tc>
        <w:tc>
          <w:tcPr>
            <w:tcW w:w="1136"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1,739</w:t>
            </w:r>
          </w:p>
        </w:tc>
      </w:tr>
      <w:tr w:rsidR="009D2295" w:rsidTr="00C61083">
        <w:trPr>
          <w:gridAfter w:val="1"/>
          <w:wAfter w:w="12" w:type="dxa"/>
          <w:cantSplit/>
          <w:jc w:val="center"/>
        </w:trPr>
        <w:tc>
          <w:tcPr>
            <w:tcW w:w="4390" w:type="dxa"/>
            <w:tcMar>
              <w:top w:w="0" w:type="dxa"/>
              <w:left w:w="108" w:type="dxa"/>
              <w:bottom w:w="0" w:type="dxa"/>
              <w:right w:w="108" w:type="dxa"/>
            </w:tcMar>
            <w:vAlign w:val="center"/>
          </w:tcPr>
          <w:p w:rsidR="009D2295" w:rsidRDefault="009D2295" w:rsidP="00C61083">
            <w:pPr>
              <w:spacing w:after="0" w:line="240" w:lineRule="auto"/>
              <w:ind w:right="-143"/>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Мощность подстанций (ПС, ТП, РП)</w:t>
            </w:r>
          </w:p>
        </w:tc>
        <w:tc>
          <w:tcPr>
            <w:tcW w:w="1276" w:type="dxa"/>
            <w:tcMar>
              <w:top w:w="0" w:type="dxa"/>
              <w:left w:w="108" w:type="dxa"/>
              <w:bottom w:w="0" w:type="dxa"/>
              <w:right w:w="108" w:type="dxa"/>
            </w:tcMar>
            <w:vAlign w:val="center"/>
          </w:tcPr>
          <w:p w:rsidR="009D2295" w:rsidRDefault="009D2295" w:rsidP="00C61083">
            <w:pPr>
              <w:spacing w:after="0" w:line="240" w:lineRule="auto"/>
              <w:ind w:left="426" w:right="-143" w:hanging="426"/>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тыс. МВА</w:t>
            </w:r>
          </w:p>
        </w:tc>
        <w:tc>
          <w:tcPr>
            <w:tcW w:w="1134" w:type="dxa"/>
            <w:tcMar>
              <w:top w:w="0" w:type="dxa"/>
              <w:left w:w="108" w:type="dxa"/>
              <w:bottom w:w="0" w:type="dxa"/>
              <w:right w:w="108" w:type="dxa"/>
            </w:tcMar>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2,46</w:t>
            </w:r>
          </w:p>
        </w:tc>
        <w:tc>
          <w:tcPr>
            <w:tcW w:w="1032"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2,487</w:t>
            </w:r>
          </w:p>
        </w:tc>
        <w:tc>
          <w:tcPr>
            <w:tcW w:w="953"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2,614</w:t>
            </w:r>
          </w:p>
        </w:tc>
        <w:tc>
          <w:tcPr>
            <w:tcW w:w="1136"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5,107</w:t>
            </w:r>
          </w:p>
        </w:tc>
      </w:tr>
      <w:tr w:rsidR="009D2295" w:rsidTr="00C61083">
        <w:trPr>
          <w:gridAfter w:val="1"/>
          <w:wAfter w:w="12" w:type="dxa"/>
          <w:cantSplit/>
          <w:trHeight w:val="70"/>
          <w:jc w:val="center"/>
        </w:trPr>
        <w:tc>
          <w:tcPr>
            <w:tcW w:w="4390" w:type="dxa"/>
            <w:tcMar>
              <w:top w:w="0" w:type="dxa"/>
              <w:left w:w="108" w:type="dxa"/>
              <w:bottom w:w="0" w:type="dxa"/>
              <w:right w:w="108" w:type="dxa"/>
            </w:tcMar>
            <w:vAlign w:val="center"/>
          </w:tcPr>
          <w:p w:rsidR="009D2295" w:rsidRDefault="009D2295" w:rsidP="00C61083">
            <w:pPr>
              <w:spacing w:after="0" w:line="240" w:lineRule="auto"/>
              <w:ind w:right="-143"/>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Протяженность ЛЭП по цепям</w:t>
            </w:r>
          </w:p>
        </w:tc>
        <w:tc>
          <w:tcPr>
            <w:tcW w:w="1276" w:type="dxa"/>
            <w:tcMar>
              <w:top w:w="0" w:type="dxa"/>
              <w:left w:w="108" w:type="dxa"/>
              <w:bottom w:w="0" w:type="dxa"/>
              <w:right w:w="108" w:type="dxa"/>
            </w:tcMar>
            <w:vAlign w:val="center"/>
          </w:tcPr>
          <w:p w:rsidR="009D2295" w:rsidRDefault="009D2295" w:rsidP="00C61083">
            <w:pPr>
              <w:spacing w:after="0" w:line="240" w:lineRule="auto"/>
              <w:ind w:left="426" w:right="-143" w:hanging="426"/>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 xml:space="preserve">км </w:t>
            </w:r>
          </w:p>
        </w:tc>
        <w:tc>
          <w:tcPr>
            <w:tcW w:w="1134" w:type="dxa"/>
            <w:tcMar>
              <w:top w:w="0" w:type="dxa"/>
              <w:left w:w="108" w:type="dxa"/>
              <w:bottom w:w="0" w:type="dxa"/>
              <w:right w:w="108" w:type="dxa"/>
            </w:tcMar>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896</w:t>
            </w:r>
          </w:p>
        </w:tc>
        <w:tc>
          <w:tcPr>
            <w:tcW w:w="1032"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904</w:t>
            </w:r>
          </w:p>
        </w:tc>
        <w:tc>
          <w:tcPr>
            <w:tcW w:w="953"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15</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928</w:t>
            </w:r>
          </w:p>
        </w:tc>
        <w:tc>
          <w:tcPr>
            <w:tcW w:w="1136" w:type="dxa"/>
            <w:tcMar>
              <w:top w:w="0" w:type="dxa"/>
              <w:left w:w="108" w:type="dxa"/>
              <w:bottom w:w="0" w:type="dxa"/>
              <w:right w:w="108" w:type="dxa"/>
            </w:tcMar>
          </w:tcPr>
          <w:p w:rsidR="009D2295" w:rsidRDefault="009D2295" w:rsidP="00C61083">
            <w:pPr>
              <w:widowControl w:val="0"/>
              <w:spacing w:after="0" w:line="240" w:lineRule="auto"/>
              <w:ind w:right="-109"/>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0,151</w:t>
            </w:r>
          </w:p>
        </w:tc>
      </w:tr>
      <w:tr w:rsidR="009D2295" w:rsidTr="00C61083">
        <w:trPr>
          <w:gridAfter w:val="1"/>
          <w:wAfter w:w="12" w:type="dxa"/>
          <w:cantSplit/>
          <w:trHeight w:val="186"/>
          <w:jc w:val="center"/>
        </w:trPr>
        <w:tc>
          <w:tcPr>
            <w:tcW w:w="4390" w:type="dxa"/>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П</w:t>
            </w:r>
            <w:r>
              <w:rPr>
                <w:rFonts w:ascii="Times New Roman" w:eastAsia="Times New Roman" w:hAnsi="Times New Roman" w:cs="Times New Roman"/>
                <w:bCs/>
                <w:color w:val="000000"/>
                <w:sz w:val="20"/>
                <w:szCs w:val="20"/>
                <w:vertAlign w:val="subscript"/>
                <w:lang w:val="en-US" w:eastAsia="ru-RU"/>
              </w:rPr>
              <w:t>saidi</w:t>
            </w:r>
          </w:p>
        </w:tc>
        <w:tc>
          <w:tcPr>
            <w:tcW w:w="1276" w:type="dxa"/>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час</w:t>
            </w:r>
          </w:p>
        </w:tc>
        <w:tc>
          <w:tcPr>
            <w:tcW w:w="1134"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5,76</w:t>
            </w:r>
          </w:p>
        </w:tc>
        <w:tc>
          <w:tcPr>
            <w:tcW w:w="1032"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5,32</w:t>
            </w:r>
          </w:p>
        </w:tc>
        <w:tc>
          <w:tcPr>
            <w:tcW w:w="953" w:type="dxa"/>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4,</w:t>
            </w:r>
            <w:r>
              <w:rPr>
                <w:rFonts w:ascii="Times New Roman" w:eastAsia="Times New Roman" w:hAnsi="Times New Roman" w:cs="Times New Roman"/>
                <w:color w:val="000000"/>
                <w:sz w:val="20"/>
                <w:szCs w:val="20"/>
                <w:lang w:eastAsia="ru-RU"/>
              </w:rPr>
              <w:t>84</w:t>
            </w:r>
          </w:p>
        </w:tc>
        <w:tc>
          <w:tcPr>
            <w:tcW w:w="1136" w:type="dxa"/>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w:t>
            </w:r>
            <w:r>
              <w:rPr>
                <w:rFonts w:ascii="Times New Roman" w:eastAsia="Times New Roman" w:hAnsi="Times New Roman" w:cs="Times New Roman"/>
                <w:color w:val="000000"/>
                <w:sz w:val="20"/>
                <w:szCs w:val="20"/>
                <w:lang w:eastAsia="ru-RU"/>
              </w:rPr>
              <w:t>9,0</w:t>
            </w:r>
          </w:p>
        </w:tc>
      </w:tr>
      <w:tr w:rsidR="009D2295" w:rsidTr="00C61083">
        <w:trPr>
          <w:gridAfter w:val="1"/>
          <w:wAfter w:w="12" w:type="dxa"/>
          <w:cantSplit/>
          <w:trHeight w:val="70"/>
          <w:jc w:val="center"/>
        </w:trPr>
        <w:tc>
          <w:tcPr>
            <w:tcW w:w="4390" w:type="dxa"/>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П</w:t>
            </w:r>
            <w:r>
              <w:rPr>
                <w:rFonts w:ascii="Times New Roman" w:eastAsia="Times New Roman" w:hAnsi="Times New Roman" w:cs="Times New Roman"/>
                <w:bCs/>
                <w:color w:val="000000"/>
                <w:sz w:val="20"/>
                <w:szCs w:val="20"/>
                <w:vertAlign w:val="subscript"/>
                <w:lang w:val="en-US" w:eastAsia="ru-RU"/>
              </w:rPr>
              <w:t>saifi</w:t>
            </w:r>
          </w:p>
        </w:tc>
        <w:tc>
          <w:tcPr>
            <w:tcW w:w="1276" w:type="dxa"/>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w:t>
            </w:r>
          </w:p>
        </w:tc>
        <w:tc>
          <w:tcPr>
            <w:tcW w:w="1134"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6,54</w:t>
            </w:r>
          </w:p>
        </w:tc>
        <w:tc>
          <w:tcPr>
            <w:tcW w:w="1032"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5,67</w:t>
            </w:r>
          </w:p>
        </w:tc>
        <w:tc>
          <w:tcPr>
            <w:tcW w:w="953" w:type="dxa"/>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3,</w:t>
            </w:r>
            <w:r>
              <w:rPr>
                <w:rFonts w:ascii="Times New Roman" w:eastAsia="Times New Roman" w:hAnsi="Times New Roman" w:cs="Times New Roman"/>
                <w:color w:val="000000"/>
                <w:sz w:val="20"/>
                <w:szCs w:val="20"/>
                <w:lang w:eastAsia="ru-RU"/>
              </w:rPr>
              <w:t>93</w:t>
            </w:r>
          </w:p>
        </w:tc>
        <w:tc>
          <w:tcPr>
            <w:tcW w:w="1136" w:type="dxa"/>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-3</w:t>
            </w:r>
            <w:r>
              <w:rPr>
                <w:rFonts w:ascii="Times New Roman" w:eastAsia="Times New Roman" w:hAnsi="Times New Roman" w:cs="Times New Roman"/>
                <w:color w:val="000000"/>
                <w:sz w:val="20"/>
                <w:szCs w:val="20"/>
                <w:lang w:eastAsia="ru-RU"/>
              </w:rPr>
              <w:t>0</w:t>
            </w:r>
            <w:r>
              <w:rPr>
                <w:rFonts w:ascii="Times New Roman" w:eastAsia="Times New Roman" w:hAnsi="Times New Roman" w:cs="Times New Roman"/>
                <w:color w:val="000000"/>
                <w:sz w:val="20"/>
                <w:szCs w:val="20"/>
                <w:lang w:val="en-US" w:eastAsia="ru-RU"/>
              </w:rPr>
              <w:t>,7</w:t>
            </w:r>
          </w:p>
        </w:tc>
      </w:tr>
      <w:tr w:rsidR="009D2295" w:rsidTr="00C61083">
        <w:trPr>
          <w:gridAfter w:val="1"/>
          <w:wAfter w:w="12" w:type="dxa"/>
          <w:cantSplit/>
          <w:trHeight w:val="422"/>
          <w:jc w:val="center"/>
        </w:trPr>
        <w:tc>
          <w:tcPr>
            <w:tcW w:w="4390" w:type="dxa"/>
          </w:tcPr>
          <w:p w:rsidR="009D2295" w:rsidRDefault="009D2295" w:rsidP="00C61083">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Количество технологических нарушений (аварий) в сети 110 кВ и выше</w:t>
            </w:r>
          </w:p>
        </w:tc>
        <w:tc>
          <w:tcPr>
            <w:tcW w:w="1276" w:type="dxa"/>
            <w:vAlign w:val="center"/>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w:t>
            </w:r>
          </w:p>
        </w:tc>
        <w:tc>
          <w:tcPr>
            <w:tcW w:w="1134"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106</w:t>
            </w:r>
          </w:p>
        </w:tc>
        <w:tc>
          <w:tcPr>
            <w:tcW w:w="1032"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152</w:t>
            </w:r>
          </w:p>
        </w:tc>
        <w:tc>
          <w:tcPr>
            <w:tcW w:w="953"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12</w:t>
            </w:r>
            <w:r>
              <w:rPr>
                <w:rFonts w:ascii="Times New Roman" w:eastAsia="Times New Roman" w:hAnsi="Times New Roman" w:cs="Times New Roman"/>
                <w:color w:val="000000"/>
                <w:sz w:val="20"/>
                <w:szCs w:val="20"/>
                <w:lang w:eastAsia="ru-RU"/>
              </w:rPr>
              <w:t>9</w:t>
            </w:r>
          </w:p>
        </w:tc>
        <w:tc>
          <w:tcPr>
            <w:tcW w:w="1136" w:type="dxa"/>
          </w:tcPr>
          <w:p w:rsidR="009D2295" w:rsidRDefault="009D2295" w:rsidP="00C61083">
            <w:pPr>
              <w:widowControl w:val="0"/>
              <w:spacing w:after="0" w:line="240" w:lineRule="auto"/>
              <w:ind w:right="-143"/>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-15,</w:t>
            </w:r>
            <w:r>
              <w:rPr>
                <w:rFonts w:ascii="Times New Roman" w:eastAsia="Times New Roman" w:hAnsi="Times New Roman" w:cs="Times New Roman"/>
                <w:color w:val="000000"/>
                <w:sz w:val="20"/>
                <w:szCs w:val="20"/>
                <w:lang w:eastAsia="ru-RU"/>
              </w:rPr>
              <w:t>1</w:t>
            </w:r>
          </w:p>
        </w:tc>
      </w:tr>
      <w:tr w:rsidR="009D2295" w:rsidTr="00C61083">
        <w:trPr>
          <w:cantSplit/>
          <w:trHeight w:val="283"/>
          <w:jc w:val="center"/>
        </w:trPr>
        <w:tc>
          <w:tcPr>
            <w:tcW w:w="9933" w:type="dxa"/>
            <w:gridSpan w:val="7"/>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Пожарная безопасность и охрана труда</w:t>
            </w:r>
          </w:p>
        </w:tc>
      </w:tr>
      <w:tr w:rsidR="009D2295" w:rsidTr="00C61083">
        <w:trPr>
          <w:gridAfter w:val="1"/>
          <w:wAfter w:w="12" w:type="dxa"/>
          <w:cantSplit/>
          <w:trHeight w:val="244"/>
          <w:jc w:val="center"/>
        </w:trPr>
        <w:tc>
          <w:tcPr>
            <w:tcW w:w="4390" w:type="dxa"/>
          </w:tcPr>
          <w:p w:rsidR="009D2295" w:rsidRDefault="009D2295" w:rsidP="00C61083">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Количество пожаров</w:t>
            </w:r>
          </w:p>
        </w:tc>
        <w:tc>
          <w:tcPr>
            <w:tcW w:w="1276" w:type="dxa"/>
          </w:tcPr>
          <w:p w:rsidR="009D2295" w:rsidRDefault="009D2295" w:rsidP="00C61083">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 xml:space="preserve">ед. </w:t>
            </w:r>
          </w:p>
        </w:tc>
        <w:tc>
          <w:tcPr>
            <w:tcW w:w="1134"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eastAsia="ru-RU"/>
              </w:rPr>
              <w:t>0</w:t>
            </w:r>
          </w:p>
        </w:tc>
        <w:tc>
          <w:tcPr>
            <w:tcW w:w="1032"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eastAsia="ru-RU"/>
              </w:rPr>
              <w:t>0</w:t>
            </w:r>
          </w:p>
        </w:tc>
        <w:tc>
          <w:tcPr>
            <w:tcW w:w="953"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eastAsia="ru-RU"/>
              </w:rPr>
              <w:t>0</w:t>
            </w:r>
          </w:p>
        </w:tc>
        <w:tc>
          <w:tcPr>
            <w:tcW w:w="1136" w:type="dxa"/>
          </w:tcPr>
          <w:p w:rsidR="009D2295" w:rsidRDefault="009D2295" w:rsidP="00C61083">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eastAsia="ru-RU"/>
              </w:rPr>
              <w:t>-</w:t>
            </w:r>
          </w:p>
        </w:tc>
      </w:tr>
    </w:tbl>
    <w:p w:rsidR="009D2295" w:rsidRDefault="009D2295">
      <w:pPr>
        <w:tabs>
          <w:tab w:val="left" w:pos="993"/>
        </w:tabs>
        <w:spacing w:after="0" w:line="240" w:lineRule="auto"/>
        <w:ind w:firstLine="709"/>
        <w:jc w:val="both"/>
        <w:rPr>
          <w:rFonts w:ascii="Times New Roman" w:hAnsi="Times New Roman" w:cs="Times New Roman"/>
          <w:sz w:val="24"/>
          <w:szCs w:val="24"/>
        </w:rPr>
      </w:pPr>
    </w:p>
    <w:p w:rsidR="00A10DA8" w:rsidRDefault="00CA7E8A">
      <w:pPr>
        <w:pStyle w:val="1"/>
        <w:ind w:firstLine="709"/>
      </w:pPr>
      <w:bookmarkStart w:id="15" w:name="_Toc195780415"/>
      <w:r>
        <w:t>Финансовые результаты</w:t>
      </w:r>
      <w:bookmarkEnd w:id="15"/>
    </w:p>
    <w:p w:rsidR="00A10DA8" w:rsidRDefault="00A10DA8">
      <w:pPr>
        <w:spacing w:after="0" w:line="240" w:lineRule="auto"/>
        <w:ind w:firstLine="709"/>
        <w:jc w:val="both"/>
        <w:rPr>
          <w:rFonts w:ascii="Times New Roman" w:eastAsia="Calibri" w:hAnsi="Times New Roman" w:cs="Times New Roman"/>
          <w:sz w:val="24"/>
          <w:szCs w:val="24"/>
          <w:lang w:eastAsia="ru-RU"/>
        </w:rPr>
      </w:pP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Выручка АО «Чеченэнерго» от реализации продукции (услуг) по итогам 2024 года составила 9 543,1 млн руб., что на 1 426,0 млн руб., или на 17,6 %, выше уровня 2023 года. Выручка от продажи электроэнергии составила 9 388,0 млн руб., что на 1 389,3 млн руб., или на 17,4 %, выше уровня 2023 года вследствие роста объема потребления электроэнергии и индексации тарифов в соответствии с принятыми тарифно-балансовыми решениями.</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Себестоимость (с учетом коммерческих и управленческих расходов) составила 10 601,7 млн руб., что на 1 345,3 млн руб., или на 14,5 %, выше уровня 2023 года. Основными факторами роста себестоимости относительно показателя 2023 года являются увеличение затрат на покупную электроэнергию и мощность для реализации и рост покупки электроэнергии на компенсацию потерь. </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По итогам 2024 года сальдо прочих доходов и расходов (с учётом процентов к получению и уплате) составило (-5 239,9) млн руб. Основным фактором ухудшения показателя является отражение в 2024 году убытка от обесценения электросетевых активов в соответствии с требованиями ФСБУ на основании замечаний аудиторов.</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Финансовый результат АО «Чеченэнерго» по итогам деятельности за 2024 год составил (-6 306,9) млн руб. Чистый убыток увеличился по сравнению с показателем 2023 года на 5 476 млн руб.</w:t>
      </w:r>
    </w:p>
    <w:p w:rsidR="00A10DA8" w:rsidRDefault="00A10DA8">
      <w:pPr>
        <w:spacing w:after="0" w:line="240" w:lineRule="auto"/>
        <w:ind w:firstLine="709"/>
        <w:jc w:val="both"/>
        <w:rPr>
          <w:rFonts w:ascii="Times New Roman" w:eastAsia="Calibri" w:hAnsi="Times New Roman" w:cs="Times New Roman"/>
          <w:sz w:val="24"/>
          <w:szCs w:val="24"/>
          <w:lang w:eastAsia="ru-RU"/>
        </w:rPr>
      </w:pPr>
    </w:p>
    <w:p w:rsidR="00A10DA8" w:rsidRDefault="00CA7E8A">
      <w:pPr>
        <w:spacing w:after="0" w:line="240" w:lineRule="auto"/>
        <w:jc w:val="center"/>
        <w:rPr>
          <w:rFonts w:ascii="Times New Roman" w:eastAsia="Calibri" w:hAnsi="Times New Roman" w:cs="Times New Roman"/>
          <w:b/>
          <w:sz w:val="24"/>
          <w:szCs w:val="24"/>
          <w:lang w:eastAsia="ru-RU"/>
        </w:rPr>
      </w:pPr>
      <w:r>
        <w:rPr>
          <w:rFonts w:ascii="Times New Roman" w:eastAsia="Times New Roman" w:hAnsi="Times New Roman" w:cs="Times New Roman"/>
          <w:b/>
          <w:sz w:val="24"/>
          <w:szCs w:val="24"/>
          <w:lang w:eastAsia="ru-RU"/>
        </w:rPr>
        <w:t>Основные финансово-экономические</w:t>
      </w:r>
      <w:r>
        <w:rPr>
          <w:rFonts w:ascii="Times New Roman" w:eastAsia="Calibri" w:hAnsi="Times New Roman" w:cs="Times New Roman"/>
          <w:b/>
          <w:sz w:val="24"/>
          <w:szCs w:val="24"/>
          <w:lang w:eastAsia="ru-RU"/>
        </w:rPr>
        <w:t xml:space="preserve"> показатели, млн руб.*</w:t>
      </w:r>
    </w:p>
    <w:p w:rsidR="00A10DA8" w:rsidRDefault="00A10DA8">
      <w:pPr>
        <w:spacing w:after="0" w:line="240" w:lineRule="auto"/>
        <w:rPr>
          <w:rFonts w:ascii="Times New Roman" w:eastAsia="Times New Roman" w:hAnsi="Times New Roman" w:cs="Times New Roman"/>
          <w:sz w:val="1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3"/>
        <w:gridCol w:w="1144"/>
        <w:gridCol w:w="1144"/>
        <w:gridCol w:w="1144"/>
        <w:gridCol w:w="1289"/>
      </w:tblGrid>
      <w:tr w:rsidR="00A10DA8">
        <w:trPr>
          <w:trHeight w:val="315"/>
          <w:tblHeader/>
        </w:trPr>
        <w:tc>
          <w:tcPr>
            <w:tcW w:w="2474" w:type="pct"/>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2526" w:type="pct"/>
            <w:gridSpan w:val="4"/>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A10DA8">
        <w:trPr>
          <w:trHeight w:val="300"/>
          <w:tblHeader/>
        </w:trPr>
        <w:tc>
          <w:tcPr>
            <w:tcW w:w="2474" w:type="pct"/>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12" w:type="pct"/>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год</w:t>
            </w:r>
          </w:p>
        </w:tc>
        <w:tc>
          <w:tcPr>
            <w:tcW w:w="612" w:type="pct"/>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tc>
        <w:tc>
          <w:tcPr>
            <w:tcW w:w="612" w:type="pct"/>
            <w:vMerge w:val="restar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w:t>
            </w:r>
          </w:p>
        </w:tc>
      </w:tr>
      <w:tr w:rsidR="00A10DA8">
        <w:trPr>
          <w:trHeight w:val="480"/>
          <w:tblHeader/>
        </w:trPr>
        <w:tc>
          <w:tcPr>
            <w:tcW w:w="2474" w:type="pct"/>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12" w:type="pct"/>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12" w:type="pct"/>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12" w:type="pct"/>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2024/2023, %</w:t>
            </w:r>
          </w:p>
        </w:tc>
      </w:tr>
      <w:tr w:rsidR="00A10DA8">
        <w:trPr>
          <w:trHeight w:val="315"/>
          <w:tblHeader/>
        </w:trPr>
        <w:tc>
          <w:tcPr>
            <w:tcW w:w="2474"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r>
      <w:tr w:rsidR="00A10DA8">
        <w:trPr>
          <w:trHeight w:val="52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Выручка от реализации продукции (услуг), в том числе:</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7 115,7</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8 117,1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9 543,1</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17,6</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 от передачи электроэнергии</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30,4</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17,5</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-42,6</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 от технологического присоединения</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30,7</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32,4</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215,0</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от продажи электроэнергии</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7 059,2</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7 998,7</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9 388,0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17,4</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от прочей деятельности</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25,8</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55,6</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35,6</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-36,0</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Себестоимость продукции (услуг)</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5 432,6</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6 398,6</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7 370,0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15,2</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Валовая прибыль</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1 683,2</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1 718,6</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2 173,1</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26,5</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Коммерческие расходы</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2 454,0</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2 598,3</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2 990,0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Управленческие расходы</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223,2</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259,5</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241,7</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-6,9</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Прибыль (убыток) от продаж</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-994,0</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-1 139,3</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-1 058,6</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-7,1</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Проценты к получению</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68,7</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266,0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32,9</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Проценты к уплате</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316,1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145,1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13,5</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-90,7</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Доходы от участия в других организациях</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доходы</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4 395,1</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4 474,7</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4 307,9</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w:t>
            </w:r>
          </w:p>
        </w:tc>
      </w:tr>
      <w:tr w:rsidR="00A10DA8">
        <w:trPr>
          <w:trHeight w:val="315"/>
        </w:trPr>
        <w:tc>
          <w:tcPr>
            <w:tcW w:w="2474" w:type="pct"/>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расходы</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4 706,4</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4 221,9</w:t>
            </w:r>
          </w:p>
        </w:tc>
        <w:tc>
          <w:tcPr>
            <w:tcW w:w="612"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9 800,2</w:t>
            </w:r>
          </w:p>
        </w:tc>
        <w:tc>
          <w:tcPr>
            <w:tcW w:w="690" w:type="pct"/>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132,1</w:t>
            </w:r>
          </w:p>
        </w:tc>
      </w:tr>
      <w:tr w:rsidR="00C839FB">
        <w:trPr>
          <w:trHeight w:val="315"/>
        </w:trPr>
        <w:tc>
          <w:tcPr>
            <w:tcW w:w="2474" w:type="pct"/>
            <w:shd w:val="clear" w:color="auto" w:fill="auto"/>
            <w:vAlign w:val="center"/>
          </w:tcPr>
          <w:p w:rsidR="00C839FB" w:rsidRDefault="00C839FB" w:rsidP="00C839FB">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Прибыль (убыток) до налогообложения</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-1 552,7</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-831,4</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-6 298,4</w:t>
            </w:r>
          </w:p>
        </w:tc>
        <w:tc>
          <w:tcPr>
            <w:tcW w:w="690"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в 7,6 раз</w:t>
            </w:r>
          </w:p>
        </w:tc>
      </w:tr>
      <w:tr w:rsidR="00C839FB">
        <w:trPr>
          <w:trHeight w:val="315"/>
        </w:trPr>
        <w:tc>
          <w:tcPr>
            <w:tcW w:w="2474" w:type="pct"/>
            <w:shd w:val="clear" w:color="auto" w:fill="auto"/>
            <w:vAlign w:val="center"/>
          </w:tcPr>
          <w:p w:rsidR="00C839FB" w:rsidRDefault="00C839FB" w:rsidP="00C839FB">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Налог на прибыль и иные платежи</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-8,4</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0,5</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-8,5</w:t>
            </w:r>
          </w:p>
        </w:tc>
        <w:tc>
          <w:tcPr>
            <w:tcW w:w="690"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val="en-US" w:eastAsia="ru-RU"/>
              </w:rPr>
              <w:t>-</w:t>
            </w:r>
          </w:p>
        </w:tc>
      </w:tr>
      <w:tr w:rsidR="00C839FB">
        <w:trPr>
          <w:trHeight w:val="315"/>
        </w:trPr>
        <w:tc>
          <w:tcPr>
            <w:tcW w:w="2474" w:type="pct"/>
            <w:shd w:val="clear" w:color="auto" w:fill="auto"/>
            <w:vAlign w:val="center"/>
          </w:tcPr>
          <w:p w:rsidR="00C839FB" w:rsidRDefault="00C839FB" w:rsidP="00C839FB">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Чистая прибыль (убыток)</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-1 561,1</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-830,9</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-6 306,9</w:t>
            </w:r>
          </w:p>
        </w:tc>
        <w:tc>
          <w:tcPr>
            <w:tcW w:w="690"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в 7,6 раз</w:t>
            </w:r>
          </w:p>
        </w:tc>
      </w:tr>
      <w:tr w:rsidR="00C839FB">
        <w:trPr>
          <w:trHeight w:val="315"/>
        </w:trPr>
        <w:tc>
          <w:tcPr>
            <w:tcW w:w="2474" w:type="pct"/>
            <w:shd w:val="clear" w:color="auto" w:fill="auto"/>
            <w:vAlign w:val="center"/>
          </w:tcPr>
          <w:p w:rsidR="00C839FB" w:rsidRDefault="00C839FB" w:rsidP="00C839FB">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EBITDA**</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-1 226,3</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-544,2</w:t>
            </w:r>
          </w:p>
        </w:tc>
        <w:tc>
          <w:tcPr>
            <w:tcW w:w="612"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b/>
                <w:bCs/>
                <w:color w:val="000000"/>
                <w:sz w:val="20"/>
                <w:szCs w:val="20"/>
                <w:lang w:eastAsia="ru-RU"/>
              </w:rPr>
            </w:pPr>
            <w:r w:rsidRPr="00B3569D">
              <w:rPr>
                <w:rFonts w:ascii="Times New Roman" w:eastAsia="Times New Roman" w:hAnsi="Times New Roman" w:cs="Times New Roman"/>
                <w:b/>
                <w:bCs/>
                <w:color w:val="000000"/>
                <w:sz w:val="20"/>
                <w:szCs w:val="20"/>
                <w:lang w:eastAsia="ru-RU"/>
              </w:rPr>
              <w:t>-1 067,0</w:t>
            </w:r>
          </w:p>
        </w:tc>
        <w:tc>
          <w:tcPr>
            <w:tcW w:w="690" w:type="pct"/>
            <w:shd w:val="clear" w:color="auto" w:fill="auto"/>
            <w:vAlign w:val="center"/>
          </w:tcPr>
          <w:p w:rsidR="00C839FB" w:rsidRPr="00B3569D" w:rsidRDefault="00C839FB" w:rsidP="00C839FB">
            <w:pPr>
              <w:spacing w:after="0" w:line="240" w:lineRule="auto"/>
              <w:jc w:val="center"/>
              <w:rPr>
                <w:rFonts w:ascii="Times New Roman" w:eastAsia="Times New Roman" w:hAnsi="Times New Roman" w:cs="Times New Roman"/>
                <w:color w:val="000000"/>
                <w:sz w:val="20"/>
                <w:szCs w:val="20"/>
                <w:lang w:eastAsia="ru-RU"/>
              </w:rPr>
            </w:pPr>
            <w:r w:rsidRPr="00B3569D">
              <w:rPr>
                <w:rFonts w:ascii="Times New Roman" w:eastAsia="Times New Roman" w:hAnsi="Times New Roman" w:cs="Times New Roman"/>
                <w:color w:val="000000"/>
                <w:sz w:val="20"/>
                <w:szCs w:val="20"/>
                <w:lang w:eastAsia="ru-RU"/>
              </w:rPr>
              <w:t>в 2 раза</w:t>
            </w:r>
          </w:p>
        </w:tc>
      </w:tr>
    </w:tbl>
    <w:p w:rsidR="00A10DA8" w:rsidRDefault="00CA7E8A">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 соответствии с показателями бухгалтерской (финансовой) отчетности АО «Чеченэнерго» за 2024 год.</w:t>
      </w:r>
    </w:p>
    <w:p w:rsidR="00A10DA8" w:rsidRDefault="00CA7E8A">
      <w:pPr>
        <w:tabs>
          <w:tab w:val="left" w:pos="1134"/>
        </w:tabs>
        <w:spacing w:after="0" w:line="240" w:lineRule="auto"/>
        <w:jc w:val="both"/>
        <w:rPr>
          <w:rFonts w:ascii="Times New Roman" w:eastAsia="Calibri" w:hAnsi="Times New Roman" w:cs="Times New Roman"/>
          <w:sz w:val="18"/>
          <w:szCs w:val="18"/>
        </w:rPr>
      </w:pPr>
      <w:r>
        <w:rPr>
          <w:rFonts w:ascii="Times New Roman" w:eastAsia="Calibri" w:hAnsi="Times New Roman" w:cs="Times New Roman"/>
          <w:sz w:val="18"/>
          <w:szCs w:val="18"/>
        </w:rPr>
        <w:t>**Показатель EBITDA рассчитан следующим образом: прибыль до налогообложения до процентных расходов, амортизации, и чистого начисления/(восстановления) убытка от обесценения основных средств и прав пользования активами</w:t>
      </w:r>
    </w:p>
    <w:p w:rsidR="00A10DA8" w:rsidRDefault="00A10DA8">
      <w:pPr>
        <w:pStyle w:val="aff"/>
        <w:tabs>
          <w:tab w:val="left" w:pos="993"/>
        </w:tabs>
        <w:ind w:left="0" w:right="-143" w:firstLine="709"/>
        <w:jc w:val="both"/>
        <w:rPr>
          <w:rFonts w:ascii="Times New Roman" w:hAnsi="Times New Roman" w:cs="Times New Roman"/>
          <w:sz w:val="24"/>
          <w:szCs w:val="24"/>
        </w:rPr>
      </w:pPr>
    </w:p>
    <w:tbl>
      <w:tblPr>
        <w:tblW w:w="9540" w:type="dxa"/>
        <w:jc w:val="center"/>
        <w:tblLook w:val="04A0" w:firstRow="1" w:lastRow="0" w:firstColumn="1" w:lastColumn="0" w:noHBand="0" w:noVBand="1"/>
      </w:tblPr>
      <w:tblGrid>
        <w:gridCol w:w="3472"/>
        <w:gridCol w:w="959"/>
        <w:gridCol w:w="1213"/>
        <w:gridCol w:w="1213"/>
        <w:gridCol w:w="1213"/>
        <w:gridCol w:w="1470"/>
      </w:tblGrid>
      <w:tr w:rsidR="00A10DA8">
        <w:trPr>
          <w:trHeight w:val="270"/>
          <w:jc w:val="center"/>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Показатель</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3639" w:type="dxa"/>
            <w:gridSpan w:val="3"/>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Период</w:t>
            </w:r>
          </w:p>
        </w:tc>
        <w:tc>
          <w:tcPr>
            <w:tcW w:w="1470" w:type="dxa"/>
            <w:vMerge w:val="restart"/>
            <w:tcBorders>
              <w:top w:val="single" w:sz="4" w:space="0" w:color="auto"/>
              <w:left w:val="none" w:sz="4" w:space="0" w:color="000000"/>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Изменение 2024/2023, %</w:t>
            </w:r>
          </w:p>
        </w:tc>
      </w:tr>
      <w:tr w:rsidR="00A10DA8">
        <w:trPr>
          <w:trHeight w:val="510"/>
          <w:jc w:val="center"/>
        </w:trPr>
        <w:tc>
          <w:tcPr>
            <w:tcW w:w="3472" w:type="dxa"/>
            <w:vMerge/>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1213"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w:t>
            </w:r>
          </w:p>
        </w:tc>
        <w:tc>
          <w:tcPr>
            <w:tcW w:w="1213"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1213"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w:t>
            </w:r>
          </w:p>
        </w:tc>
        <w:tc>
          <w:tcPr>
            <w:tcW w:w="1470" w:type="dxa"/>
            <w:vMerge/>
            <w:tcBorders>
              <w:left w:val="single" w:sz="4" w:space="0" w:color="auto"/>
              <w:bottom w:val="single" w:sz="4" w:space="0" w:color="auto"/>
              <w:right w:val="single" w:sz="4" w:space="0" w:color="auto"/>
            </w:tcBorders>
            <w:shd w:val="clear" w:color="auto" w:fill="auto"/>
            <w:vAlign w:val="center"/>
          </w:tcPr>
          <w:p w:rsidR="00A10DA8" w:rsidRDefault="00A10DA8">
            <w:pPr>
              <w:spacing w:after="0" w:line="240" w:lineRule="auto"/>
              <w:jc w:val="center"/>
              <w:rPr>
                <w:rFonts w:ascii="Times New Roman" w:eastAsia="Times New Roman" w:hAnsi="Times New Roman" w:cs="Times New Roman"/>
                <w:b/>
                <w:bCs/>
                <w:color w:val="000000"/>
                <w:sz w:val="20"/>
                <w:szCs w:val="20"/>
                <w:lang w:eastAsia="ru-RU"/>
              </w:rPr>
            </w:pPr>
          </w:p>
        </w:tc>
      </w:tr>
      <w:tr w:rsidR="00835526">
        <w:trPr>
          <w:trHeight w:val="270"/>
          <w:jc w:val="center"/>
        </w:trPr>
        <w:tc>
          <w:tcPr>
            <w:tcW w:w="3472"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5526" w:rsidRDefault="00835526" w:rsidP="00835526">
            <w:pPr>
              <w:widowControl w:val="0"/>
              <w:spacing w:after="0" w:line="240" w:lineRule="auto"/>
              <w:ind w:left="22" w:right="-143"/>
              <w:rPr>
                <w:rFonts w:ascii="Times New Roman" w:eastAsia="Times New Roman" w:hAnsi="Times New Roman" w:cs="Times New Roman"/>
                <w:sz w:val="20"/>
                <w:szCs w:val="20"/>
                <w:lang w:eastAsia="ar-SA"/>
              </w:rPr>
            </w:pPr>
            <w:r>
              <w:rPr>
                <w:rFonts w:ascii="Times New Roman" w:hAnsi="Times New Roman" w:cs="Times New Roman"/>
                <w:sz w:val="20"/>
                <w:szCs w:val="20"/>
              </w:rPr>
              <w:t>Коэффициент текущей ликвидности</w:t>
            </w:r>
          </w:p>
        </w:tc>
        <w:tc>
          <w:tcPr>
            <w:tcW w:w="959"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hAnsi="Times New Roman" w:cs="Times New Roman"/>
                <w:b/>
                <w:bCs/>
                <w:color w:val="000000"/>
                <w:sz w:val="20"/>
                <w:szCs w:val="20"/>
              </w:rPr>
              <w:t> </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0,74</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0,98</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0,87</w:t>
            </w:r>
          </w:p>
        </w:tc>
        <w:tc>
          <w:tcPr>
            <w:tcW w:w="1470" w:type="dxa"/>
            <w:tcBorders>
              <w:top w:val="none" w:sz="4" w:space="0" w:color="000000"/>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-11,2</w:t>
            </w:r>
          </w:p>
        </w:tc>
      </w:tr>
      <w:tr w:rsidR="00835526">
        <w:trPr>
          <w:trHeight w:val="270"/>
          <w:jc w:val="center"/>
        </w:trPr>
        <w:tc>
          <w:tcPr>
            <w:tcW w:w="3472"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5526" w:rsidRDefault="00835526" w:rsidP="00835526">
            <w:pPr>
              <w:widowControl w:val="0"/>
              <w:spacing w:after="0" w:line="240" w:lineRule="auto"/>
              <w:ind w:left="22" w:right="-143"/>
              <w:rPr>
                <w:rFonts w:ascii="Times New Roman" w:eastAsia="Times New Roman" w:hAnsi="Times New Roman" w:cs="Times New Roman"/>
                <w:sz w:val="20"/>
                <w:szCs w:val="20"/>
                <w:lang w:eastAsia="ar-SA"/>
              </w:rPr>
            </w:pPr>
            <w:r>
              <w:rPr>
                <w:rFonts w:ascii="Times New Roman" w:hAnsi="Times New Roman" w:cs="Times New Roman"/>
                <w:sz w:val="20"/>
                <w:szCs w:val="20"/>
              </w:rPr>
              <w:t>Финансовый рычаг</w:t>
            </w:r>
          </w:p>
        </w:tc>
        <w:tc>
          <w:tcPr>
            <w:tcW w:w="959"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hAnsi="Times New Roman" w:cs="Times New Roman"/>
                <w:b/>
                <w:bCs/>
                <w:color w:val="000000"/>
                <w:sz w:val="20"/>
                <w:szCs w:val="20"/>
              </w:rPr>
              <w:t> </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7,71</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1,50</w:t>
            </w:r>
          </w:p>
        </w:tc>
        <w:tc>
          <w:tcPr>
            <w:tcW w:w="1213" w:type="dxa"/>
            <w:tcBorders>
              <w:top w:val="none" w:sz="4" w:space="0" w:color="000000"/>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7,47</w:t>
            </w:r>
          </w:p>
        </w:tc>
        <w:tc>
          <w:tcPr>
            <w:tcW w:w="1470" w:type="dxa"/>
            <w:tcBorders>
              <w:top w:val="none" w:sz="4" w:space="0" w:color="000000"/>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lang w:val="en-US"/>
              </w:rPr>
              <w:t>&gt;</w:t>
            </w:r>
            <w:r>
              <w:rPr>
                <w:rFonts w:ascii="Times New Roman" w:hAnsi="Times New Roman" w:cs="Times New Roman"/>
                <w:color w:val="000000"/>
                <w:sz w:val="20"/>
                <w:szCs w:val="20"/>
              </w:rPr>
              <w:t>100</w:t>
            </w:r>
          </w:p>
        </w:tc>
      </w:tr>
      <w:tr w:rsidR="00835526">
        <w:trPr>
          <w:trHeight w:val="270"/>
          <w:jc w:val="center"/>
        </w:trPr>
        <w:tc>
          <w:tcPr>
            <w:tcW w:w="3472"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5526" w:rsidRDefault="00835526" w:rsidP="00835526">
            <w:pPr>
              <w:widowControl w:val="0"/>
              <w:spacing w:after="0" w:line="240" w:lineRule="auto"/>
              <w:ind w:left="22" w:right="-143"/>
              <w:rPr>
                <w:rFonts w:ascii="Times New Roman" w:eastAsia="Times New Roman" w:hAnsi="Times New Roman" w:cs="Times New Roman"/>
                <w:sz w:val="20"/>
                <w:szCs w:val="20"/>
                <w:lang w:eastAsia="ar-SA"/>
              </w:rPr>
            </w:pPr>
            <w:r>
              <w:rPr>
                <w:rFonts w:ascii="Times New Roman" w:hAnsi="Times New Roman" w:cs="Times New Roman"/>
                <w:sz w:val="20"/>
                <w:szCs w:val="20"/>
              </w:rPr>
              <w:t>Доля долгосрочных заемных средств</w:t>
            </w:r>
          </w:p>
        </w:tc>
        <w:tc>
          <w:tcPr>
            <w:tcW w:w="959"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b/>
                <w:bCs/>
                <w:color w:val="000000"/>
                <w:sz w:val="20"/>
                <w:szCs w:val="20"/>
              </w:rPr>
              <w:t>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0,68</w:t>
            </w:r>
          </w:p>
        </w:tc>
        <w:tc>
          <w:tcPr>
            <w:tcW w:w="1213"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0,71</w:t>
            </w:r>
          </w:p>
        </w:tc>
        <w:tc>
          <w:tcPr>
            <w:tcW w:w="1213"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0,68</w:t>
            </w:r>
          </w:p>
        </w:tc>
        <w:tc>
          <w:tcPr>
            <w:tcW w:w="1470" w:type="dxa"/>
            <w:tcBorders>
              <w:top w:val="none" w:sz="4" w:space="0" w:color="000000"/>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-4,2</w:t>
            </w:r>
          </w:p>
        </w:tc>
      </w:tr>
      <w:tr w:rsidR="00835526">
        <w:trPr>
          <w:trHeight w:val="270"/>
          <w:jc w:val="center"/>
        </w:trPr>
        <w:tc>
          <w:tcPr>
            <w:tcW w:w="34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35526" w:rsidRDefault="00835526" w:rsidP="00835526">
            <w:pPr>
              <w:widowControl w:val="0"/>
              <w:spacing w:after="0" w:line="240" w:lineRule="auto"/>
              <w:ind w:left="22" w:right="-143"/>
              <w:rPr>
                <w:rFonts w:ascii="Times New Roman" w:eastAsia="SimSun" w:hAnsi="Times New Roman" w:cs="Times New Roman"/>
                <w:sz w:val="20"/>
                <w:szCs w:val="20"/>
                <w:lang w:eastAsia="ar-SA"/>
              </w:rPr>
            </w:pPr>
            <w:r>
              <w:rPr>
                <w:rFonts w:ascii="Times New Roman" w:hAnsi="Times New Roman" w:cs="Times New Roman"/>
                <w:sz w:val="20"/>
                <w:szCs w:val="20"/>
              </w:rPr>
              <w:t>Чистый денежный поток</w:t>
            </w:r>
          </w:p>
        </w:tc>
        <w:tc>
          <w:tcPr>
            <w:tcW w:w="959"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млн руб.</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2 232,61</w:t>
            </w:r>
          </w:p>
        </w:tc>
        <w:tc>
          <w:tcPr>
            <w:tcW w:w="1213"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-2 699,71</w:t>
            </w:r>
          </w:p>
        </w:tc>
        <w:tc>
          <w:tcPr>
            <w:tcW w:w="1213" w:type="dxa"/>
            <w:tcBorders>
              <w:top w:val="single" w:sz="4" w:space="0" w:color="auto"/>
              <w:left w:val="none" w:sz="4" w:space="0" w:color="000000"/>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2 301,46</w:t>
            </w:r>
          </w:p>
        </w:tc>
        <w:tc>
          <w:tcPr>
            <w:tcW w:w="1470" w:type="dxa"/>
            <w:tcBorders>
              <w:top w:val="single" w:sz="4" w:space="0" w:color="auto"/>
              <w:left w:val="single" w:sz="4" w:space="0" w:color="auto"/>
              <w:bottom w:val="single" w:sz="4" w:space="0" w:color="auto"/>
              <w:right w:val="single" w:sz="4" w:space="0" w:color="auto"/>
            </w:tcBorders>
            <w:shd w:val="clear" w:color="auto" w:fill="auto"/>
            <w:vAlign w:val="center"/>
          </w:tcPr>
          <w:p w:rsidR="00835526" w:rsidRDefault="00835526" w:rsidP="00835526">
            <w:pPr>
              <w:spacing w:after="0" w:line="240" w:lineRule="auto"/>
              <w:jc w:val="center"/>
              <w:rPr>
                <w:rFonts w:ascii="Times New Roman" w:eastAsia="Times New Roman" w:hAnsi="Times New Roman" w:cs="Times New Roman"/>
                <w:color w:val="000000"/>
                <w:sz w:val="20"/>
                <w:szCs w:val="20"/>
                <w:lang w:eastAsia="ar-SA"/>
              </w:rPr>
            </w:pPr>
            <w:r>
              <w:rPr>
                <w:rFonts w:ascii="Times New Roman" w:hAnsi="Times New Roman" w:cs="Times New Roman"/>
                <w:color w:val="000000"/>
                <w:sz w:val="20"/>
                <w:szCs w:val="20"/>
              </w:rPr>
              <w:t>-185,2</w:t>
            </w:r>
          </w:p>
        </w:tc>
      </w:tr>
    </w:tbl>
    <w:p w:rsidR="00A10DA8" w:rsidRDefault="00A10DA8">
      <w:pPr>
        <w:pStyle w:val="aff"/>
        <w:tabs>
          <w:tab w:val="left" w:pos="993"/>
        </w:tabs>
        <w:ind w:left="0" w:right="-143" w:firstLine="709"/>
        <w:jc w:val="both"/>
        <w:rPr>
          <w:rFonts w:ascii="Times New Roman" w:hAnsi="Times New Roman" w:cs="Times New Roman"/>
          <w:sz w:val="24"/>
          <w:szCs w:val="24"/>
        </w:rPr>
      </w:pPr>
    </w:p>
    <w:p w:rsidR="00A10DA8" w:rsidRDefault="00CA7E8A">
      <w:pPr>
        <w:tabs>
          <w:tab w:val="left" w:pos="993"/>
        </w:tabs>
        <w:spacing w:after="0" w:line="240" w:lineRule="auto"/>
        <w:ind w:right="-142"/>
        <w:jc w:val="center"/>
        <w:rPr>
          <w:rFonts w:ascii="Times New Roman" w:hAnsi="Times New Roman" w:cs="Times New Roman"/>
          <w:b/>
          <w:sz w:val="24"/>
          <w:szCs w:val="24"/>
        </w:rPr>
      </w:pPr>
      <w:r>
        <w:rPr>
          <w:rFonts w:ascii="Times New Roman" w:hAnsi="Times New Roman" w:cs="Times New Roman"/>
          <w:b/>
          <w:sz w:val="24"/>
          <w:szCs w:val="24"/>
        </w:rPr>
        <w:t>Информация о состоянии чистых активов, млн руб.</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1774"/>
        <w:gridCol w:w="1700"/>
        <w:gridCol w:w="1700"/>
      </w:tblGrid>
      <w:tr w:rsidR="00A10DA8">
        <w:trPr>
          <w:trHeight w:val="727"/>
          <w:jc w:val="center"/>
        </w:trPr>
        <w:tc>
          <w:tcPr>
            <w:tcW w:w="1710" w:type="pct"/>
            <w:shd w:val="clear" w:color="auto" w:fill="auto"/>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Наименование показателя</w:t>
            </w:r>
          </w:p>
        </w:tc>
        <w:tc>
          <w:tcPr>
            <w:tcW w:w="1128" w:type="pct"/>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На конец 2024 г.</w:t>
            </w:r>
          </w:p>
        </w:tc>
        <w:tc>
          <w:tcPr>
            <w:tcW w:w="1081" w:type="pct"/>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На конец 2023 г.</w:t>
            </w:r>
          </w:p>
        </w:tc>
        <w:tc>
          <w:tcPr>
            <w:tcW w:w="1081" w:type="pct"/>
            <w:vAlign w:val="center"/>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На конец 2022 г.</w:t>
            </w:r>
          </w:p>
        </w:tc>
      </w:tr>
      <w:tr w:rsidR="00A10DA8">
        <w:trPr>
          <w:trHeight w:val="221"/>
          <w:jc w:val="center"/>
        </w:trPr>
        <w:tc>
          <w:tcPr>
            <w:tcW w:w="1710" w:type="pct"/>
            <w:shd w:val="clear" w:color="auto" w:fill="auto"/>
          </w:tcPr>
          <w:p w:rsidR="00A10DA8" w:rsidRDefault="00CA7E8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Чистые активы</w:t>
            </w:r>
          </w:p>
        </w:tc>
        <w:tc>
          <w:tcPr>
            <w:tcW w:w="1128"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5 193,1</w:t>
            </w:r>
          </w:p>
        </w:tc>
        <w:tc>
          <w:tcPr>
            <w:tcW w:w="1081"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7 152,8</w:t>
            </w:r>
          </w:p>
        </w:tc>
        <w:tc>
          <w:tcPr>
            <w:tcW w:w="1081"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2 109,7</w:t>
            </w:r>
          </w:p>
        </w:tc>
      </w:tr>
      <w:tr w:rsidR="00A10DA8">
        <w:trPr>
          <w:trHeight w:val="225"/>
          <w:jc w:val="center"/>
        </w:trPr>
        <w:tc>
          <w:tcPr>
            <w:tcW w:w="1710" w:type="pct"/>
            <w:shd w:val="clear" w:color="auto" w:fill="auto"/>
          </w:tcPr>
          <w:p w:rsidR="00A10DA8" w:rsidRDefault="00CA7E8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Размер уставного капитала</w:t>
            </w:r>
          </w:p>
        </w:tc>
        <w:tc>
          <w:tcPr>
            <w:tcW w:w="1128"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26 192,75</w:t>
            </w:r>
          </w:p>
        </w:tc>
        <w:tc>
          <w:tcPr>
            <w:tcW w:w="1081"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26 192,75</w:t>
            </w:r>
          </w:p>
        </w:tc>
        <w:tc>
          <w:tcPr>
            <w:tcW w:w="1081" w:type="pct"/>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rPr>
              <w:t>10 603,94</w:t>
            </w:r>
          </w:p>
        </w:tc>
      </w:tr>
    </w:tbl>
    <w:p w:rsidR="00A10DA8" w:rsidRDefault="00A10DA8">
      <w:pPr>
        <w:spacing w:after="0" w:line="240" w:lineRule="auto"/>
        <w:ind w:firstLine="709"/>
        <w:jc w:val="both"/>
        <w:rPr>
          <w:rFonts w:ascii="Times New Roman" w:eastAsia="Calibri" w:hAnsi="Times New Roman" w:cs="Times New Roman"/>
          <w:sz w:val="24"/>
          <w:szCs w:val="24"/>
          <w:lang w:eastAsia="ru-RU"/>
        </w:rPr>
      </w:pP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Чистые активы Общества за рассматриваемый период составляют 5 193,1 млн руб., что на 1 959,7 млн руб. ниже показателя за 2023 год.  </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Снижение величины чистых активов связано с увеличением кредиторской задолженности Общества. При этом чистые активы Общества на конец 2024 года ниже уставного капитала Общества. </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Основными причинами убыточности деятельности Общества являются следующие факторы:</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1. Высокий уровень сверхнормативных потерь электроэнергии, обусловленный высоким уровнем безучетного потребления электроэнергии.</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 Низкий уровень поступлений от потребителей розничного рынка электроэнергии за потреблённую электроэнергию.</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Меры по приведению стоимости чистых активов в соответствие с величиной уставного капитала:</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 снижение уровня потерь в электрических сетях;</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 обеспечение 100 % уровня оплаты текущих платежей за электроэнергию конечными потребителями;</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 взыскание просроченной дебиторской задолженности потребителей;</w:t>
      </w:r>
    </w:p>
    <w:p w:rsidR="00A10DA8" w:rsidRDefault="00CA7E8A">
      <w:pPr>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4) исполнение обязательств перед кредиторами Общества.</w:t>
      </w:r>
    </w:p>
    <w:p w:rsidR="00A10DA8" w:rsidRDefault="00A10DA8">
      <w:pPr>
        <w:spacing w:after="0" w:line="240" w:lineRule="auto"/>
        <w:ind w:firstLine="709"/>
        <w:jc w:val="both"/>
        <w:rPr>
          <w:rFonts w:ascii="Times New Roman" w:eastAsia="Calibri" w:hAnsi="Times New Roman" w:cs="Times New Roman"/>
          <w:sz w:val="24"/>
          <w:szCs w:val="24"/>
          <w:lang w:eastAsia="ru-RU"/>
        </w:rPr>
      </w:pPr>
    </w:p>
    <w:p w:rsidR="00A10DA8" w:rsidRDefault="00CA7E8A">
      <w:pPr>
        <w:pStyle w:val="1"/>
        <w:ind w:firstLine="708"/>
        <w:rPr>
          <w:b w:val="0"/>
        </w:rPr>
      </w:pPr>
      <w:bookmarkStart w:id="16" w:name="_Toc410722869"/>
      <w:bookmarkStart w:id="17" w:name="_Toc195780416"/>
      <w:r>
        <w:t>Тарифная политика</w:t>
      </w:r>
      <w:bookmarkEnd w:id="16"/>
      <w:bookmarkEnd w:id="17"/>
    </w:p>
    <w:p w:rsidR="00A10DA8" w:rsidRDefault="00A10DA8">
      <w:pPr>
        <w:spacing w:after="0" w:line="240" w:lineRule="auto"/>
        <w:rPr>
          <w:rFonts w:ascii="Times New Roman" w:eastAsia="Times New Roman" w:hAnsi="Times New Roman" w:cs="Times New Roman"/>
          <w:sz w:val="24"/>
          <w:szCs w:val="24"/>
          <w:lang w:eastAsia="ru-RU"/>
        </w:rPr>
      </w:pPr>
    </w:p>
    <w:p w:rsidR="00A10DA8" w:rsidRDefault="00CA7E8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Основные виды деятельности Общества (передача электрической энергии по распределительным сетям напряжением от 110 до 0,4 кВ, технологическое присоединение потребителей к сетевой инфраструктуре) относятся к регулируемым.</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Регулирование осуществляется в соответствии с:</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Федеральным законом от 26.03.2003 № 35-ФЗ «Об электроэнергетике»;</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29.12.2011 № 1178 «О ценообразовании в области регулируемых цен (тарифов) в электроэнергетике» (вместе с «Основами ценообразования в области регулируемых цен (тарифов) в электроэнергетике», «Правилами государственного регулирования (пересмотра, применения) цен (тарифов) в электроэнергетике»);</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28.02.2015 № 184 «Об отнесении владельцев объектов электросетевого хозяйства к территориальным сетевым организациям»;</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27.12.2004 № 861 «Об утверждении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21.01.2004 № 24 «Об утверждении стандартов раскрытия информации субъектами оптового и розничных рынков электрической энергии»;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27.12.2010 № 1172 «Об утверждении Правил оптового рынка электрической энергии и мощности и о внесении изменений в некоторые акты Правительства Российской Федерации по вопросам организации функционирования оптового рынка электрической энергии и мощности»;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29.12.2011 № 1179 «Об определении и применении гарантирующими поставщиками нерегулируемых цен на электрическую энергию (мощность)» (вместе с «Правилами определения и применения гарантирующими поставщиками нерегулируемых цен на электрическую энергию (мощность)»);</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Постановлением Правительства Российской Федерации от 30.04.2018 № 533 «Об утверждении Правил рассмотрения (урегулирования) споров и разногласий, связанных </w:t>
      </w:r>
      <w:r>
        <w:rPr>
          <w:rFonts w:ascii="Times New Roman" w:hAnsi="Times New Roman" w:cs="Times New Roman"/>
          <w:sz w:val="24"/>
          <w:szCs w:val="24"/>
        </w:rPr>
        <w:lastRenderedPageBreak/>
        <w:t>с установлением и (или) применением цен (тарифов), о внесении изменений в постановление Правительства Российской Федерации от 09.01.2009 № 14 и признании утратившими силу некоторых актов Правительства Российской Федерации»;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31.12.2009 № 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Приказом Минэнерго России от 29.11.2016 №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Минэнерго России от 13.12.2011 № 585 «Об утверждении Порядка ведения раздельного учета доходов и расходов субъектами естественных монополий в сфере услуг по передаче электрической энергии и оперативно-диспетчерскому управлению в электроэнергетике» (далее – Порядок ведения раздельного учета);</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ФСТ России от 17.02.2012 № 98-э «Об утверждении методических указаний по расчету тарифов на услуги по передаче электрической энергии, устанавливаемых с применением метода долгосрочной индексации необходимой валовой выручки»;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Постановлением Правительства Российской Федерации от 31.08.2023 № 1416 «О соглашениях об условиях осуществления регулируемых видов деятельности»;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ФСТ России от 06.08.2004 № 20-э/2 «Об утверждении методических указаний по расчету регулируемых тарифов и цен на электрическую (тепловую) энергию на розничном (потребительском) рынке»;</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ФСТ России от 11.09.2014 № 215-э/1 «Об утверждении методических указаний по определению выпадающих доходов, связанных с осуществлением технологического присоединения к электрическим сетям»;</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ФСТ России от 26.10.2010 № 254-э/1 «Об утверждении Методических указаний по расчету и применению понижающих (повышающих) коэффициентов, позволяющих обеспечить соответствие уровня тарифов, установленных для организаций, осуществляющих регулируемую деятельность, уровню надежности и качества поставляемых товаров и оказываемых услуг»;</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ФСТ России от 18.03.2015 № 421-э «Об утверждении Методических указаний по определению базового уровня операционных, подконтрольных расходов территориальных сетевых организаций, необходимых для осуществления регулируемой деятельности, и индекса эффективности операционных, подконтрольных расходов с применением метода сравнения аналогов»;</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Приказом ФАС России от 21.11.2017 № 1554/17 «Об утверждении методических указаний по расчету сбытовых надбавок гарантирующих поставщиков с использованием метода сравнения аналогов».</w:t>
      </w:r>
    </w:p>
    <w:p w:rsidR="00A10DA8" w:rsidRDefault="00A10DA8">
      <w:pPr>
        <w:spacing w:after="0" w:line="240" w:lineRule="auto"/>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Тарифы на услуги по передаче электроэнергии</w:t>
      </w:r>
    </w:p>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Регулирование деятельности Общества с 2015 года осуществляется с применением метода долгосрочной индексации необходимой валовой выручки на период 2015-2017 гг. С 2018 года утвержден второй долгосрочный период регулирования на 2018-2022 гг. С 2023 года по 2027 год для АО «Чеченэнерго установлен новый долгосрочной период регулирования с применением метода долгосрочной индексации необходимой валовой выручки.</w:t>
      </w:r>
    </w:p>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Динамика структуры НВВ по передаче электрической энергии Общества</w:t>
      </w:r>
    </w:p>
    <w:p w:rsidR="00A10DA8" w:rsidRDefault="00CA7E8A">
      <w:pPr>
        <w:tabs>
          <w:tab w:val="left" w:pos="9356"/>
        </w:tabs>
        <w:ind w:left="-426" w:firstLine="284"/>
        <w:jc w:val="center"/>
        <w:outlineLvl w:val="2"/>
        <w:rPr>
          <w:bCs/>
          <w:color w:val="FF0000"/>
        </w:rPr>
      </w:pPr>
      <w:r>
        <w:rPr>
          <w:b/>
          <w:noProof/>
          <w:color w:val="FF0000"/>
          <w:lang w:eastAsia="ru-RU"/>
        </w:rPr>
        <w:lastRenderedPageBreak/>
        <w:drawing>
          <wp:inline distT="0" distB="0" distL="0" distR="0">
            <wp:extent cx="5400040" cy="2380615"/>
            <wp:effectExtent l="0" t="0" r="10160" b="635"/>
            <wp:docPr id="1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Собственная НВВ АО «Чеченэнерго» на 2024 год увеличилась относительно 2023 года на 15,8 %.</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356"/>
        </w:tabs>
        <w:spacing w:after="0" w:line="240" w:lineRule="auto"/>
        <w:jc w:val="center"/>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Анализ изменений среднего тарифа на услуги по передаче электрической, руб./ кВт∙ч, %</w:t>
      </w:r>
    </w:p>
    <w:tbl>
      <w:tblPr>
        <w:tblW w:w="61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48"/>
        <w:gridCol w:w="2048"/>
        <w:gridCol w:w="2048"/>
      </w:tblGrid>
      <w:tr w:rsidR="00A10DA8">
        <w:trPr>
          <w:trHeight w:val="304"/>
          <w:jc w:val="center"/>
        </w:trPr>
        <w:tc>
          <w:tcPr>
            <w:tcW w:w="2048" w:type="dxa"/>
          </w:tcPr>
          <w:p w:rsidR="00A10DA8" w:rsidRDefault="00CA7E8A">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2022</w:t>
            </w:r>
          </w:p>
        </w:tc>
        <w:tc>
          <w:tcPr>
            <w:tcW w:w="2048" w:type="dxa"/>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2023</w:t>
            </w:r>
          </w:p>
        </w:tc>
        <w:tc>
          <w:tcPr>
            <w:tcW w:w="2048" w:type="dxa"/>
            <w:shd w:val="clear" w:color="auto" w:fill="auto"/>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2024</w:t>
            </w:r>
          </w:p>
        </w:tc>
      </w:tr>
      <w:tr w:rsidR="00A10DA8">
        <w:trPr>
          <w:trHeight w:val="258"/>
          <w:jc w:val="center"/>
        </w:trPr>
        <w:tc>
          <w:tcPr>
            <w:tcW w:w="2048" w:type="dxa"/>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1,54</w:t>
            </w:r>
          </w:p>
        </w:tc>
        <w:tc>
          <w:tcPr>
            <w:tcW w:w="2048" w:type="dxa"/>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w:t>
            </w:r>
            <w:r>
              <w:rPr>
                <w:rFonts w:ascii="Times New Roman" w:eastAsia="Times New Roman" w:hAnsi="Times New Roman" w:cs="Times New Roman"/>
                <w:bCs/>
                <w:sz w:val="20"/>
                <w:szCs w:val="20"/>
                <w:lang w:val="en-US" w:eastAsia="ru-RU"/>
              </w:rPr>
              <w:t>8</w:t>
            </w:r>
            <w:r>
              <w:rPr>
                <w:rFonts w:ascii="Times New Roman" w:eastAsia="Times New Roman" w:hAnsi="Times New Roman" w:cs="Times New Roman"/>
                <w:bCs/>
                <w:sz w:val="20"/>
                <w:szCs w:val="20"/>
                <w:lang w:eastAsia="ru-RU"/>
              </w:rPr>
              <w:t>6</w:t>
            </w:r>
          </w:p>
        </w:tc>
        <w:tc>
          <w:tcPr>
            <w:tcW w:w="2048" w:type="dxa"/>
            <w:shd w:val="clear" w:color="auto" w:fill="auto"/>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2,11</w:t>
            </w:r>
          </w:p>
        </w:tc>
      </w:tr>
      <w:tr w:rsidR="00A10DA8">
        <w:trPr>
          <w:trHeight w:val="304"/>
          <w:jc w:val="center"/>
        </w:trPr>
        <w:tc>
          <w:tcPr>
            <w:tcW w:w="2048" w:type="dxa"/>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91,2</w:t>
            </w:r>
          </w:p>
        </w:tc>
        <w:tc>
          <w:tcPr>
            <w:tcW w:w="2048" w:type="dxa"/>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21,0</w:t>
            </w:r>
          </w:p>
        </w:tc>
        <w:tc>
          <w:tcPr>
            <w:tcW w:w="2048" w:type="dxa"/>
            <w:shd w:val="clear" w:color="auto" w:fill="auto"/>
          </w:tcPr>
          <w:p w:rsidR="00A10DA8" w:rsidRDefault="00CA7E8A">
            <w:pPr>
              <w:tabs>
                <w:tab w:val="left" w:pos="9356"/>
              </w:tabs>
              <w:spacing w:after="0" w:line="240" w:lineRule="auto"/>
              <w:ind w:left="-426" w:firstLine="284"/>
              <w:jc w:val="center"/>
              <w:outlineLvl w:val="2"/>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13,1</w:t>
            </w:r>
          </w:p>
        </w:tc>
      </w:tr>
    </w:tbl>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Прирост среднего тарифа на услуги по передаче электрической энергии в 2024 году АО «Чеченэнерго» составил 13,1 %. При этом единые (котловые) тарифы на услуги по передаче электрической энергии, оказываемым потребителям, не относящимся к категории «население» и приравненным к нему категориям потребителям, на территории Чеченской Республики установлены с 01.07.2024 с приростом от действующих тарифов  на второе полугодие 2023 года на уровне 9 %, предусмотренном параметрами пункта 81 Основ ценообразования в области регулируемых цен (тарифов) в электроэнергетике, утвержденных постановлением Правительства Российской Федерации от 29.12.2011 № 1178.</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8"/>
        <w:contextualSpacing/>
        <w:rPr>
          <w:rFonts w:ascii="Times New Roman" w:hAnsi="Times New Roman" w:cs="Times New Roman"/>
          <w:b/>
          <w:bCs/>
          <w:sz w:val="24"/>
          <w:szCs w:val="24"/>
        </w:rPr>
      </w:pPr>
      <w:r>
        <w:rPr>
          <w:rFonts w:ascii="Times New Roman" w:hAnsi="Times New Roman" w:cs="Times New Roman"/>
          <w:b/>
          <w:bCs/>
          <w:sz w:val="24"/>
          <w:szCs w:val="24"/>
        </w:rPr>
        <w:t>Плата за технологическое присоединение</w:t>
      </w:r>
    </w:p>
    <w:p w:rsidR="00A10DA8" w:rsidRDefault="00A10DA8">
      <w:pPr>
        <w:spacing w:after="0" w:line="240" w:lineRule="auto"/>
        <w:contextualSpacing/>
        <w:jc w:val="both"/>
        <w:rPr>
          <w:rFonts w:ascii="Times New Roman" w:hAnsi="Times New Roman" w:cs="Times New Roman"/>
          <w:b/>
          <w:bCs/>
          <w:sz w:val="24"/>
          <w:szCs w:val="24"/>
        </w:rPr>
      </w:pPr>
    </w:p>
    <w:p w:rsidR="00A10DA8" w:rsidRDefault="00CA7E8A">
      <w:pPr>
        <w:pStyle w:val="afff6"/>
        <w:ind w:firstLine="708"/>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соответствии с Федеральным законом «Об электроэнергетике» от 26.03.2003 № 35-ФЗ,  постановлением Правительства Российской Федерации от 29.12.2011 № 1178 «О ценообразовании в области регулируемых цен (тарифов) в электроэнергетике» (далее – Основы ценообразования),  Правилами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утвержденными постановлением Правительства Российской Федерации от 27.12.2004 № 861 (далее - Правила технологического присоединения), Методическими указаниями по определению размера платы за технологическое присоединение к электрическим сетям, утвержденными приказом ФАС России от 30.06.2022 № 490/22 (далее – Методические указания 490/22) на 2024 год установлены:</w:t>
      </w:r>
    </w:p>
    <w:p w:rsidR="00A10DA8" w:rsidRDefault="00CA7E8A">
      <w:pPr>
        <w:pStyle w:val="afff6"/>
        <w:ind w:firstLine="85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Стандартизированные тарифные ставки, формулы платы за технологическое присоединение энергопринимающих устройств к распределительным электрическим сетям;</w:t>
      </w:r>
    </w:p>
    <w:p w:rsidR="00A10DA8" w:rsidRDefault="00CA7E8A">
      <w:pPr>
        <w:pStyle w:val="afff6"/>
        <w:tabs>
          <w:tab w:val="left" w:pos="992"/>
          <w:tab w:val="left" w:pos="1134"/>
        </w:tabs>
        <w:rPr>
          <w:rFonts w:ascii="Times New Roman" w:eastAsia="Times New Roman" w:hAnsi="Times New Roman"/>
          <w:szCs w:val="28"/>
          <w:lang w:eastAsia="ru-RU"/>
        </w:rPr>
      </w:pPr>
      <w:r>
        <w:rPr>
          <w:rFonts w:ascii="Times New Roman" w:eastAsia="Times New Roman" w:hAnsi="Times New Roman"/>
          <w:sz w:val="24"/>
          <w:szCs w:val="24"/>
          <w:lang w:eastAsia="ru-RU"/>
        </w:rPr>
        <w:t xml:space="preserve">               2. Льготные ставки за 1 кВт запрашиваемой максимальной мощности. </w:t>
      </w:r>
    </w:p>
    <w:p w:rsidR="00A10DA8" w:rsidRDefault="00CA7E8A">
      <w:pPr>
        <w:pStyle w:val="afff6"/>
        <w:tabs>
          <w:tab w:val="left" w:pos="850"/>
        </w:tabs>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3.Плата за технологическое присоединение к электрическим сетям по индивидуальному проекту.</w:t>
      </w:r>
    </w:p>
    <w:p w:rsidR="00A10DA8" w:rsidRDefault="00CA7E8A">
      <w:pPr>
        <w:pStyle w:val="afff6"/>
        <w:tabs>
          <w:tab w:val="left" w:pos="992"/>
          <w:tab w:val="left" w:pos="1134"/>
        </w:tabs>
        <w:ind w:firstLine="850"/>
        <w:jc w:val="both"/>
        <w:rPr>
          <w:rFonts w:ascii="Times New Roman" w:eastAsia="Times New Roman" w:hAnsi="Times New Roman"/>
          <w:b/>
          <w:bCs/>
          <w:lang w:eastAsia="ru-RU"/>
        </w:rPr>
      </w:pPr>
      <w:r>
        <w:rPr>
          <w:rFonts w:ascii="Times New Roman" w:eastAsia="Times New Roman" w:hAnsi="Times New Roman"/>
          <w:sz w:val="24"/>
          <w:szCs w:val="24"/>
          <w:lang w:eastAsia="ru-RU"/>
        </w:rPr>
        <w:t>Информация по Стандартизированным тарифным ставкам С1, на покрытие расходов на выполнение мероприятий по технологическому присоединению, предусмотренных подпунктами "а" и "в" пункта 16 Методических указаний по определению размера платы за технологическое присоединение к электрическим сетям:</w:t>
      </w:r>
    </w:p>
    <w:p w:rsidR="00A10DA8" w:rsidRDefault="00A10DA8">
      <w:pPr>
        <w:spacing w:after="0" w:line="240" w:lineRule="auto"/>
        <w:jc w:val="both"/>
        <w:rPr>
          <w:rFonts w:ascii="Times New Roman" w:hAnsi="Times New Roman" w:cs="Times New Roman"/>
          <w:sz w:val="24"/>
          <w:szCs w:val="24"/>
        </w:rPr>
      </w:pPr>
    </w:p>
    <w:tbl>
      <w:tblPr>
        <w:tblStyle w:val="afa"/>
        <w:tblW w:w="9496" w:type="dxa"/>
        <w:jc w:val="center"/>
        <w:tblLayout w:type="fixed"/>
        <w:tblLook w:val="04A0" w:firstRow="1" w:lastRow="0" w:firstColumn="1" w:lastColumn="0" w:noHBand="0" w:noVBand="1"/>
      </w:tblPr>
      <w:tblGrid>
        <w:gridCol w:w="4181"/>
        <w:gridCol w:w="1134"/>
        <w:gridCol w:w="992"/>
        <w:gridCol w:w="992"/>
        <w:gridCol w:w="992"/>
        <w:gridCol w:w="1205"/>
      </w:tblGrid>
      <w:tr w:rsidR="00A10DA8">
        <w:trPr>
          <w:trHeight w:val="450"/>
          <w:jc w:val="center"/>
        </w:trPr>
        <w:tc>
          <w:tcPr>
            <w:tcW w:w="4181" w:type="dxa"/>
            <w:vMerge w:val="restart"/>
            <w:tcBorders>
              <w:top w:val="single" w:sz="4" w:space="0" w:color="000000"/>
              <w:left w:val="single" w:sz="4" w:space="0" w:color="000000"/>
              <w:bottom w:val="single" w:sz="4" w:space="0" w:color="000000"/>
              <w:right w:val="single" w:sz="4" w:space="0" w:color="000000"/>
            </w:tcBorders>
            <w:vAlign w:val="center"/>
          </w:tcPr>
          <w:p w:rsidR="00A10DA8" w:rsidRDefault="00CA7E8A">
            <w:pPr>
              <w:jc w:val="center"/>
              <w:rPr>
                <w:rFonts w:eastAsia="Calibri"/>
                <w:b/>
                <w:bCs/>
                <w:sz w:val="18"/>
                <w:szCs w:val="18"/>
              </w:rPr>
            </w:pPr>
            <w:r>
              <w:rPr>
                <w:rFonts w:eastAsia="Calibri"/>
                <w:b/>
                <w:bCs/>
              </w:rPr>
              <w:t>Показатели</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A10DA8" w:rsidRDefault="00CA7E8A">
            <w:pPr>
              <w:jc w:val="center"/>
              <w:rPr>
                <w:rFonts w:eastAsia="Calibri"/>
                <w:b/>
                <w:bCs/>
              </w:rPr>
            </w:pPr>
            <w:r>
              <w:rPr>
                <w:rFonts w:eastAsia="Calibri"/>
                <w:b/>
                <w:bCs/>
              </w:rPr>
              <w:t>Ед. изм.</w:t>
            </w:r>
          </w:p>
        </w:tc>
        <w:tc>
          <w:tcPr>
            <w:tcW w:w="992" w:type="dxa"/>
            <w:vMerge w:val="restart"/>
            <w:tcBorders>
              <w:top w:val="single" w:sz="4" w:space="0" w:color="000000"/>
              <w:left w:val="single" w:sz="4" w:space="0" w:color="000000"/>
              <w:bottom w:val="single" w:sz="4" w:space="0" w:color="000000"/>
              <w:right w:val="single" w:sz="4" w:space="0" w:color="000000"/>
            </w:tcBorders>
          </w:tcPr>
          <w:p w:rsidR="00A10DA8" w:rsidRDefault="00A10DA8">
            <w:pPr>
              <w:tabs>
                <w:tab w:val="left" w:pos="993"/>
              </w:tabs>
              <w:spacing w:after="0" w:line="240" w:lineRule="auto"/>
              <w:jc w:val="center"/>
              <w:rPr>
                <w:b/>
                <w:bCs/>
              </w:rPr>
            </w:pPr>
          </w:p>
          <w:p w:rsidR="00A10DA8" w:rsidRDefault="00CA7E8A">
            <w:pPr>
              <w:tabs>
                <w:tab w:val="left" w:pos="993"/>
              </w:tabs>
              <w:spacing w:after="0" w:line="240" w:lineRule="auto"/>
              <w:jc w:val="center"/>
              <w:rPr>
                <w:b/>
                <w:bCs/>
              </w:rPr>
            </w:pPr>
            <w:r>
              <w:rPr>
                <w:b/>
                <w:bCs/>
              </w:rPr>
              <w:t>2021 г.</w:t>
            </w:r>
          </w:p>
        </w:tc>
        <w:tc>
          <w:tcPr>
            <w:tcW w:w="992" w:type="dxa"/>
            <w:vMerge w:val="restart"/>
            <w:tcBorders>
              <w:top w:val="single" w:sz="4" w:space="0" w:color="000000"/>
              <w:left w:val="single" w:sz="4" w:space="0" w:color="000000"/>
              <w:bottom w:val="single" w:sz="4" w:space="0" w:color="000000"/>
              <w:right w:val="single" w:sz="4" w:space="0" w:color="000000"/>
            </w:tcBorders>
          </w:tcPr>
          <w:p w:rsidR="00A10DA8" w:rsidRDefault="00A10DA8">
            <w:pPr>
              <w:tabs>
                <w:tab w:val="left" w:pos="993"/>
              </w:tabs>
              <w:spacing w:after="0" w:line="240" w:lineRule="auto"/>
              <w:jc w:val="center"/>
              <w:rPr>
                <w:b/>
                <w:bCs/>
              </w:rPr>
            </w:pPr>
          </w:p>
          <w:p w:rsidR="00A10DA8" w:rsidRDefault="00CA7E8A">
            <w:pPr>
              <w:tabs>
                <w:tab w:val="left" w:pos="993"/>
              </w:tabs>
              <w:spacing w:after="0" w:line="240" w:lineRule="auto"/>
              <w:jc w:val="center"/>
              <w:rPr>
                <w:b/>
                <w:bCs/>
              </w:rPr>
            </w:pPr>
            <w:r>
              <w:rPr>
                <w:b/>
                <w:bCs/>
              </w:rPr>
              <w:t>2022 г.</w:t>
            </w:r>
          </w:p>
        </w:tc>
        <w:tc>
          <w:tcPr>
            <w:tcW w:w="992" w:type="dxa"/>
            <w:vMerge w:val="restart"/>
            <w:tcBorders>
              <w:top w:val="single" w:sz="4" w:space="0" w:color="000000"/>
              <w:left w:val="single" w:sz="4" w:space="0" w:color="000000"/>
              <w:bottom w:val="single" w:sz="4" w:space="0" w:color="000000"/>
              <w:right w:val="single" w:sz="4" w:space="0" w:color="000000"/>
            </w:tcBorders>
          </w:tcPr>
          <w:p w:rsidR="00A10DA8" w:rsidRDefault="00A10DA8">
            <w:pPr>
              <w:tabs>
                <w:tab w:val="left" w:pos="993"/>
              </w:tabs>
              <w:spacing w:after="0" w:line="240" w:lineRule="auto"/>
              <w:jc w:val="center"/>
              <w:rPr>
                <w:b/>
                <w:bCs/>
              </w:rPr>
            </w:pPr>
          </w:p>
          <w:p w:rsidR="00A10DA8" w:rsidRDefault="00CA7E8A">
            <w:pPr>
              <w:tabs>
                <w:tab w:val="left" w:pos="993"/>
              </w:tabs>
              <w:spacing w:after="0" w:line="240" w:lineRule="auto"/>
              <w:jc w:val="center"/>
              <w:rPr>
                <w:b/>
                <w:bCs/>
              </w:rPr>
            </w:pPr>
            <w:r>
              <w:rPr>
                <w:b/>
                <w:bCs/>
              </w:rPr>
              <w:t>2023 г.</w:t>
            </w:r>
          </w:p>
        </w:tc>
        <w:tc>
          <w:tcPr>
            <w:tcW w:w="1205" w:type="dxa"/>
            <w:vMerge w:val="restart"/>
            <w:tcBorders>
              <w:top w:val="single" w:sz="4" w:space="0" w:color="000000"/>
              <w:left w:val="single" w:sz="4" w:space="0" w:color="000000"/>
              <w:bottom w:val="single" w:sz="4" w:space="0" w:color="000000"/>
              <w:right w:val="single" w:sz="4" w:space="0" w:color="000000"/>
            </w:tcBorders>
          </w:tcPr>
          <w:p w:rsidR="00A10DA8" w:rsidRDefault="00CA7E8A">
            <w:pPr>
              <w:tabs>
                <w:tab w:val="left" w:pos="993"/>
              </w:tabs>
              <w:spacing w:after="0" w:line="240" w:lineRule="auto"/>
              <w:jc w:val="center"/>
              <w:rPr>
                <w:b/>
                <w:bCs/>
              </w:rPr>
            </w:pPr>
            <w:r>
              <w:rPr>
                <w:b/>
              </w:rPr>
              <w:t>изменение 2023/2022,</w:t>
            </w:r>
            <w:r>
              <w:rPr>
                <w:b/>
                <w:bCs/>
              </w:rPr>
              <w:t>%</w:t>
            </w:r>
          </w:p>
        </w:tc>
      </w:tr>
      <w:tr w:rsidR="00A10DA8">
        <w:trPr>
          <w:trHeight w:val="1486"/>
          <w:jc w:val="center"/>
        </w:trPr>
        <w:tc>
          <w:tcPr>
            <w:tcW w:w="4181" w:type="dxa"/>
            <w:tcBorders>
              <w:top w:val="single" w:sz="4" w:space="0" w:color="000000"/>
              <w:left w:val="single" w:sz="4" w:space="0" w:color="000000"/>
              <w:bottom w:val="single" w:sz="4" w:space="0" w:color="000000"/>
              <w:right w:val="single" w:sz="4" w:space="0" w:color="000000"/>
            </w:tcBorders>
          </w:tcPr>
          <w:p w:rsidR="00A10DA8" w:rsidRDefault="00CA7E8A">
            <w:pPr>
              <w:tabs>
                <w:tab w:val="left" w:pos="993"/>
              </w:tabs>
              <w:spacing w:after="0" w:line="240" w:lineRule="auto"/>
              <w:jc w:val="both"/>
            </w:pPr>
            <w:r>
              <w:t xml:space="preserve">С1.1. Подготовка и выдача сетевой организацией технических условий Заявителю </w:t>
            </w:r>
          </w:p>
          <w:p w:rsidR="00A10DA8" w:rsidRDefault="00CA7E8A">
            <w:pPr>
              <w:tabs>
                <w:tab w:val="left" w:pos="993"/>
              </w:tabs>
              <w:spacing w:after="0" w:line="240" w:lineRule="auto"/>
              <w:jc w:val="both"/>
            </w:pPr>
            <w:r>
              <w:t>С1.2.1. Выдача сетевой организацией уведомления об обеспечении сетевой организацией возможности присоединения к электрическим сетям</w:t>
            </w:r>
          </w:p>
        </w:tc>
        <w:tc>
          <w:tcPr>
            <w:tcW w:w="1134" w:type="dxa"/>
            <w:vMerge w:val="restart"/>
            <w:tcBorders>
              <w:top w:val="single" w:sz="4" w:space="0" w:color="000000"/>
              <w:left w:val="single" w:sz="4" w:space="0" w:color="000000"/>
              <w:bottom w:val="single" w:sz="4" w:space="0" w:color="000000"/>
              <w:right w:val="single" w:sz="4" w:space="0" w:color="000000"/>
            </w:tcBorders>
          </w:tcPr>
          <w:p w:rsidR="00A10DA8" w:rsidRDefault="00A10DA8">
            <w:pPr>
              <w:tabs>
                <w:tab w:val="left" w:pos="993"/>
              </w:tabs>
              <w:spacing w:after="0" w:line="240" w:lineRule="auto"/>
              <w:jc w:val="center"/>
            </w:pPr>
          </w:p>
          <w:p w:rsidR="00A10DA8" w:rsidRDefault="00A10DA8">
            <w:pPr>
              <w:pStyle w:val="afff6"/>
              <w:jc w:val="center"/>
              <w:rPr>
                <w:rFonts w:ascii="Times New Roman" w:hAnsi="Times New Roman"/>
              </w:rPr>
            </w:pPr>
          </w:p>
          <w:p w:rsidR="00A10DA8" w:rsidRDefault="00CA7E8A">
            <w:pPr>
              <w:pStyle w:val="afff6"/>
              <w:jc w:val="center"/>
              <w:rPr>
                <w:rFonts w:ascii="Times New Roman" w:hAnsi="Times New Roman"/>
              </w:rPr>
            </w:pPr>
            <w:r>
              <w:rPr>
                <w:rFonts w:ascii="Times New Roman" w:hAnsi="Times New Roman"/>
              </w:rPr>
              <w:t>руб. за одно присоединение</w:t>
            </w:r>
          </w:p>
          <w:p w:rsidR="00A10DA8" w:rsidRDefault="00A10DA8"/>
        </w:tc>
        <w:tc>
          <w:tcPr>
            <w:tcW w:w="992" w:type="dxa"/>
            <w:tcBorders>
              <w:top w:val="single" w:sz="4" w:space="0" w:color="000000"/>
              <w:left w:val="singl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2 808,69</w:t>
            </w:r>
          </w:p>
        </w:tc>
        <w:tc>
          <w:tcPr>
            <w:tcW w:w="992" w:type="dxa"/>
            <w:tcBorders>
              <w:top w:val="singl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1 114,67</w:t>
            </w:r>
          </w:p>
        </w:tc>
        <w:tc>
          <w:tcPr>
            <w:tcW w:w="992" w:type="dxa"/>
            <w:tcBorders>
              <w:top w:val="singl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1 118,54</w:t>
            </w:r>
          </w:p>
        </w:tc>
        <w:tc>
          <w:tcPr>
            <w:tcW w:w="1205" w:type="dxa"/>
            <w:tcBorders>
              <w:top w:val="singl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0,3</w:t>
            </w:r>
          </w:p>
        </w:tc>
      </w:tr>
      <w:tr w:rsidR="00A10DA8">
        <w:trPr>
          <w:trHeight w:val="1266"/>
          <w:jc w:val="center"/>
        </w:trPr>
        <w:tc>
          <w:tcPr>
            <w:tcW w:w="4181" w:type="dxa"/>
            <w:tcBorders>
              <w:top w:val="single" w:sz="4" w:space="0" w:color="000000"/>
              <w:left w:val="single" w:sz="4" w:space="0" w:color="000000"/>
              <w:bottom w:val="single" w:sz="4" w:space="0" w:color="000000"/>
              <w:right w:val="single" w:sz="4" w:space="0" w:color="000000"/>
            </w:tcBorders>
          </w:tcPr>
          <w:p w:rsidR="00A10DA8" w:rsidRDefault="00CA7E8A">
            <w:pPr>
              <w:tabs>
                <w:tab w:val="left" w:pos="993"/>
              </w:tabs>
              <w:spacing w:after="0" w:line="240" w:lineRule="auto"/>
              <w:jc w:val="both"/>
            </w:pPr>
            <w:r>
              <w:t xml:space="preserve">С1.1. Подготовка и выдача сетевой организацией технических условий Заявителю </w:t>
            </w:r>
          </w:p>
          <w:p w:rsidR="00A10DA8" w:rsidRDefault="00CA7E8A">
            <w:pPr>
              <w:tabs>
                <w:tab w:val="left" w:pos="993"/>
              </w:tabs>
              <w:spacing w:after="0" w:line="240" w:lineRule="auto"/>
              <w:jc w:val="both"/>
            </w:pPr>
            <w:r>
              <w:t>С1.2.2. Проверка сетевой организацией выполнения технических условий Заявителями</w:t>
            </w:r>
          </w:p>
        </w:tc>
        <w:tc>
          <w:tcPr>
            <w:tcW w:w="1134" w:type="dxa"/>
            <w:vMerge/>
            <w:tcBorders>
              <w:top w:val="single" w:sz="4" w:space="0" w:color="000000"/>
              <w:left w:val="single" w:sz="4" w:space="0" w:color="000000"/>
              <w:bottom w:val="single" w:sz="4" w:space="0" w:color="000000"/>
              <w:right w:val="single" w:sz="4" w:space="0" w:color="000000"/>
            </w:tcBorders>
          </w:tcPr>
          <w:p w:rsidR="00A10DA8" w:rsidRDefault="00A10DA8"/>
        </w:tc>
        <w:tc>
          <w:tcPr>
            <w:tcW w:w="992" w:type="dxa"/>
            <w:tcBorders>
              <w:top w:val="none" w:sz="4" w:space="0" w:color="000000"/>
              <w:left w:val="singl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2 808,69</w:t>
            </w:r>
          </w:p>
        </w:tc>
        <w:tc>
          <w:tcPr>
            <w:tcW w:w="992" w:type="dxa"/>
            <w:tcBorders>
              <w:top w:val="non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2 205,91</w:t>
            </w:r>
          </w:p>
        </w:tc>
        <w:tc>
          <w:tcPr>
            <w:tcW w:w="992" w:type="dxa"/>
            <w:tcBorders>
              <w:top w:val="non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1 058,11</w:t>
            </w:r>
          </w:p>
        </w:tc>
        <w:tc>
          <w:tcPr>
            <w:tcW w:w="1205" w:type="dxa"/>
            <w:tcBorders>
              <w:top w:val="none" w:sz="4" w:space="0" w:color="000000"/>
              <w:left w:val="none" w:sz="4" w:space="0" w:color="000000"/>
              <w:bottom w:val="single" w:sz="4" w:space="0" w:color="000000"/>
              <w:right w:val="single" w:sz="4" w:space="0" w:color="000000"/>
            </w:tcBorders>
            <w:vAlign w:val="center"/>
          </w:tcPr>
          <w:p w:rsidR="00A10DA8" w:rsidRDefault="00CA7E8A">
            <w:pPr>
              <w:jc w:val="center"/>
              <w:rPr>
                <w:color w:val="000000" w:themeColor="text1"/>
              </w:rPr>
            </w:pPr>
            <w:r>
              <w:rPr>
                <w:color w:val="000000" w:themeColor="text1"/>
              </w:rPr>
              <w:t>-52</w:t>
            </w:r>
          </w:p>
        </w:tc>
      </w:tr>
    </w:tbl>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850"/>
        <w:jc w:val="both"/>
        <w:rPr>
          <w:rFonts w:ascii="Times New Roman" w:hAnsi="Times New Roman" w:cs="Times New Roman"/>
          <w:sz w:val="24"/>
          <w:szCs w:val="24"/>
        </w:rPr>
      </w:pPr>
      <w:r>
        <w:rPr>
          <w:rFonts w:ascii="Times New Roman" w:hAnsi="Times New Roman" w:cs="Times New Roman"/>
          <w:sz w:val="24"/>
          <w:szCs w:val="24"/>
        </w:rPr>
        <w:t>Стандартизированные тарифные ставки по «последней миле», в соответствии с Методическими указаниями 490/22, установлены в зависимости от вида используемого материала и (или) способа выполнения работ в ценах периода регулирования едиными для всех территориальных сетевых организаций по субъекту Российской Федерации и отражены в приложении к решению органа регулирования.</w:t>
      </w:r>
    </w:p>
    <w:p w:rsidR="00A10DA8" w:rsidRDefault="00CA7E8A">
      <w:pPr>
        <w:spacing w:after="0" w:line="240" w:lineRule="auto"/>
        <w:ind w:firstLine="850"/>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Льготные ставки за 1 кВт запрашиваемой максимальной мощности, установлены в соответствии с Основами ценообразования, едиными для всех территориальных сетевых организаций по субъекту Российской Федерации, в размере:</w:t>
      </w:r>
    </w:p>
    <w:p w:rsidR="00A10DA8" w:rsidRDefault="00A10DA8">
      <w:pPr>
        <w:spacing w:after="0" w:line="240" w:lineRule="auto"/>
        <w:ind w:firstLine="850"/>
        <w:jc w:val="both"/>
        <w:rPr>
          <w:rFonts w:ascii="Times New Roman" w:hAnsi="Times New Roman" w:cs="Times New Roman"/>
          <w:sz w:val="24"/>
          <w:szCs w:val="24"/>
        </w:rPr>
      </w:pPr>
    </w:p>
    <w:tbl>
      <w:tblPr>
        <w:tblStyle w:val="afa"/>
        <w:tblW w:w="0" w:type="auto"/>
        <w:jc w:val="center"/>
        <w:tblLayout w:type="fixed"/>
        <w:tblLook w:val="04A0" w:firstRow="1" w:lastRow="0" w:firstColumn="1" w:lastColumn="0" w:noHBand="0" w:noVBand="1"/>
      </w:tblPr>
      <w:tblGrid>
        <w:gridCol w:w="567"/>
        <w:gridCol w:w="1645"/>
        <w:gridCol w:w="1473"/>
        <w:gridCol w:w="2269"/>
      </w:tblGrid>
      <w:tr w:rsidR="00A10DA8">
        <w:trPr>
          <w:trHeight w:val="854"/>
          <w:jc w:val="center"/>
        </w:trPr>
        <w:tc>
          <w:tcPr>
            <w:tcW w:w="567" w:type="dxa"/>
            <w:vMerge w:val="restart"/>
          </w:tcPr>
          <w:p w:rsidR="00A10DA8" w:rsidRDefault="00A10DA8">
            <w:pPr>
              <w:pStyle w:val="afff6"/>
              <w:jc w:val="center"/>
              <w:rPr>
                <w:rFonts w:ascii="Times New Roman" w:hAnsi="Times New Roman"/>
              </w:rPr>
            </w:pPr>
          </w:p>
          <w:p w:rsidR="00A10DA8" w:rsidRDefault="00CA7E8A">
            <w:pPr>
              <w:pStyle w:val="afff6"/>
              <w:jc w:val="center"/>
              <w:rPr>
                <w:rFonts w:ascii="Times New Roman" w:eastAsia="Times New Roman" w:hAnsi="Times New Roman"/>
                <w:lang w:eastAsia="ru-RU"/>
              </w:rPr>
            </w:pPr>
            <w:r>
              <w:rPr>
                <w:rFonts w:ascii="Times New Roman" w:eastAsia="Times New Roman" w:hAnsi="Times New Roman"/>
                <w:lang w:eastAsia="ru-RU"/>
              </w:rPr>
              <w:t>№ п/п/</w:t>
            </w:r>
          </w:p>
          <w:p w:rsidR="00A10DA8" w:rsidRDefault="00A10DA8">
            <w:pPr>
              <w:pStyle w:val="afff6"/>
              <w:jc w:val="center"/>
              <w:rPr>
                <w:rFonts w:ascii="Times New Roman" w:hAnsi="Times New Roman"/>
              </w:rPr>
            </w:pPr>
          </w:p>
        </w:tc>
        <w:tc>
          <w:tcPr>
            <w:tcW w:w="3118" w:type="dxa"/>
            <w:gridSpan w:val="2"/>
          </w:tcPr>
          <w:p w:rsidR="00A10DA8" w:rsidRDefault="00CA7E8A">
            <w:pPr>
              <w:pStyle w:val="afff6"/>
              <w:jc w:val="center"/>
              <w:rPr>
                <w:rFonts w:ascii="Times New Roman" w:eastAsia="Times New Roman" w:hAnsi="Times New Roman"/>
                <w:color w:val="000000"/>
                <w:lang w:eastAsia="ru-RU"/>
              </w:rPr>
            </w:pPr>
            <w:r>
              <w:rPr>
                <w:rFonts w:ascii="Times New Roman" w:eastAsia="Times New Roman" w:hAnsi="Times New Roman"/>
                <w:color w:val="000000"/>
                <w:lang w:eastAsia="ru-RU"/>
              </w:rPr>
              <w:t>Заявители,</w:t>
            </w:r>
            <w:r>
              <w:rPr>
                <w:rFonts w:ascii="Times New Roman" w:eastAsia="Times New Roman" w:hAnsi="Times New Roman"/>
                <w:lang w:eastAsia="ru-RU"/>
              </w:rPr>
              <w:t xml:space="preserve"> физические лица</w:t>
            </w:r>
            <w:r>
              <w:rPr>
                <w:rFonts w:ascii="Times New Roman" w:eastAsia="Times New Roman" w:hAnsi="Times New Roman"/>
                <w:color w:val="000000"/>
                <w:lang w:eastAsia="ru-RU"/>
              </w:rPr>
              <w:t>, максимальная мощность которых не превышает 15кВт *</w:t>
            </w:r>
          </w:p>
          <w:p w:rsidR="00A10DA8" w:rsidRDefault="00A10DA8">
            <w:pPr>
              <w:pStyle w:val="afff6"/>
              <w:jc w:val="center"/>
              <w:rPr>
                <w:rFonts w:ascii="Times New Roman" w:hAnsi="Times New Roman"/>
              </w:rPr>
            </w:pPr>
          </w:p>
        </w:tc>
        <w:tc>
          <w:tcPr>
            <w:tcW w:w="2269" w:type="dxa"/>
            <w:vMerge w:val="restart"/>
          </w:tcPr>
          <w:p w:rsidR="00A10DA8" w:rsidRDefault="00CA7E8A">
            <w:pPr>
              <w:pStyle w:val="afff6"/>
              <w:jc w:val="center"/>
              <w:rPr>
                <w:rFonts w:ascii="Times New Roman" w:hAnsi="Times New Roman"/>
              </w:rPr>
            </w:pPr>
            <w:r>
              <w:rPr>
                <w:rFonts w:ascii="Times New Roman" w:eastAsia="Times New Roman" w:hAnsi="Times New Roman"/>
                <w:lang w:eastAsia="ru-RU"/>
              </w:rPr>
              <w:t>Заявители - физические лица, относящихся к социально незащищенным категориям **</w:t>
            </w:r>
          </w:p>
        </w:tc>
      </w:tr>
      <w:tr w:rsidR="00A10DA8">
        <w:trPr>
          <w:trHeight w:val="491"/>
          <w:jc w:val="center"/>
        </w:trPr>
        <w:tc>
          <w:tcPr>
            <w:tcW w:w="567" w:type="dxa"/>
            <w:vMerge/>
          </w:tcPr>
          <w:p w:rsidR="00A10DA8" w:rsidRDefault="00A10DA8"/>
        </w:tc>
        <w:tc>
          <w:tcPr>
            <w:tcW w:w="1645" w:type="dxa"/>
          </w:tcPr>
          <w:p w:rsidR="00A10DA8" w:rsidRDefault="00CA7E8A">
            <w:pPr>
              <w:pStyle w:val="afff6"/>
              <w:jc w:val="center"/>
              <w:rPr>
                <w:rFonts w:ascii="Times New Roman" w:hAnsi="Times New Roman"/>
              </w:rPr>
            </w:pPr>
            <w:r>
              <w:rPr>
                <w:rFonts w:ascii="Times New Roman" w:eastAsia="Times New Roman" w:hAnsi="Times New Roman"/>
                <w:lang w:eastAsia="ru-RU"/>
              </w:rPr>
              <w:t>с 01.01.2024</w:t>
            </w:r>
          </w:p>
        </w:tc>
        <w:tc>
          <w:tcPr>
            <w:tcW w:w="1473" w:type="dxa"/>
          </w:tcPr>
          <w:p w:rsidR="00A10DA8" w:rsidRDefault="00CA7E8A">
            <w:pPr>
              <w:pStyle w:val="afff6"/>
              <w:jc w:val="center"/>
              <w:rPr>
                <w:rFonts w:ascii="Times New Roman" w:hAnsi="Times New Roman"/>
              </w:rPr>
            </w:pPr>
            <w:r>
              <w:rPr>
                <w:rFonts w:ascii="Times New Roman" w:eastAsia="Times New Roman" w:hAnsi="Times New Roman"/>
                <w:lang w:eastAsia="ru-RU"/>
              </w:rPr>
              <w:t xml:space="preserve"> с 01.07.2024</w:t>
            </w:r>
          </w:p>
        </w:tc>
        <w:tc>
          <w:tcPr>
            <w:tcW w:w="2269" w:type="dxa"/>
            <w:vMerge/>
          </w:tcPr>
          <w:p w:rsidR="00A10DA8" w:rsidRDefault="00A10DA8"/>
        </w:tc>
      </w:tr>
      <w:tr w:rsidR="00A10DA8">
        <w:trPr>
          <w:trHeight w:val="314"/>
          <w:jc w:val="center"/>
        </w:trPr>
        <w:tc>
          <w:tcPr>
            <w:tcW w:w="567" w:type="dxa"/>
          </w:tcPr>
          <w:p w:rsidR="00A10DA8" w:rsidRDefault="00CA7E8A">
            <w:pPr>
              <w:pStyle w:val="afff6"/>
              <w:jc w:val="center"/>
              <w:rPr>
                <w:rFonts w:ascii="Times New Roman" w:hAnsi="Times New Roman"/>
              </w:rPr>
            </w:pPr>
            <w:r>
              <w:rPr>
                <w:rFonts w:ascii="Times New Roman" w:eastAsia="Times New Roman" w:hAnsi="Times New Roman"/>
                <w:lang w:eastAsia="ru-RU"/>
              </w:rPr>
              <w:t>1.</w:t>
            </w:r>
          </w:p>
        </w:tc>
        <w:tc>
          <w:tcPr>
            <w:tcW w:w="1645" w:type="dxa"/>
          </w:tcPr>
          <w:p w:rsidR="00A10DA8" w:rsidRDefault="00CA7E8A">
            <w:pPr>
              <w:pStyle w:val="afff6"/>
              <w:jc w:val="center"/>
              <w:rPr>
                <w:rFonts w:ascii="Times New Roman" w:hAnsi="Times New Roman"/>
              </w:rPr>
            </w:pPr>
            <w:r>
              <w:rPr>
                <w:rFonts w:ascii="Times New Roman" w:eastAsia="Times New Roman" w:hAnsi="Times New Roman"/>
                <w:lang w:eastAsia="ru-RU"/>
              </w:rPr>
              <w:t>4 456,27</w:t>
            </w:r>
          </w:p>
        </w:tc>
        <w:tc>
          <w:tcPr>
            <w:tcW w:w="1473" w:type="dxa"/>
          </w:tcPr>
          <w:p w:rsidR="00A10DA8" w:rsidRDefault="00CA7E8A">
            <w:pPr>
              <w:pStyle w:val="afff6"/>
              <w:jc w:val="center"/>
              <w:rPr>
                <w:rFonts w:ascii="Times New Roman" w:hAnsi="Times New Roman"/>
              </w:rPr>
            </w:pPr>
            <w:r>
              <w:rPr>
                <w:rFonts w:ascii="Times New Roman" w:eastAsia="Times New Roman" w:hAnsi="Times New Roman"/>
                <w:lang w:eastAsia="ru-RU"/>
              </w:rPr>
              <w:t>5 570,34</w:t>
            </w:r>
          </w:p>
        </w:tc>
        <w:tc>
          <w:tcPr>
            <w:tcW w:w="2269" w:type="dxa"/>
          </w:tcPr>
          <w:p w:rsidR="00A10DA8" w:rsidRDefault="00CA7E8A">
            <w:pPr>
              <w:pStyle w:val="afff6"/>
              <w:jc w:val="center"/>
              <w:rPr>
                <w:rFonts w:ascii="Times New Roman" w:eastAsia="Times New Roman" w:hAnsi="Times New Roman"/>
                <w:lang w:eastAsia="ru-RU"/>
              </w:rPr>
            </w:pPr>
            <w:r>
              <w:rPr>
                <w:rFonts w:ascii="Times New Roman" w:eastAsia="Times New Roman" w:hAnsi="Times New Roman"/>
                <w:lang w:eastAsia="ru-RU"/>
              </w:rPr>
              <w:t>1 114,010</w:t>
            </w:r>
          </w:p>
        </w:tc>
      </w:tr>
    </w:tbl>
    <w:p w:rsidR="00A10DA8" w:rsidRDefault="00A10DA8">
      <w:pPr>
        <w:spacing w:after="0" w:line="240" w:lineRule="auto"/>
        <w:ind w:firstLine="850"/>
        <w:jc w:val="both"/>
        <w:rPr>
          <w:rFonts w:ascii="Times New Roman" w:hAnsi="Times New Roman" w:cs="Times New Roman"/>
          <w:sz w:val="24"/>
          <w:szCs w:val="24"/>
        </w:rPr>
      </w:pPr>
    </w:p>
    <w:p w:rsidR="00A10DA8" w:rsidRDefault="00CA7E8A">
      <w:pPr>
        <w:spacing w:after="0" w:line="240" w:lineRule="auto"/>
        <w:ind w:firstLine="850"/>
        <w:jc w:val="both"/>
      </w:pPr>
      <w:r>
        <w:rPr>
          <w:rFonts w:ascii="Times New Roman" w:hAnsi="Times New Roman" w:cs="Times New Roman"/>
          <w:sz w:val="24"/>
          <w:szCs w:val="24"/>
        </w:rPr>
        <w:t>*Для заявителей, указанных в абзацах 4,5 и 8 пункта 17 Правил технологического присоединения, для физических лиц, максимальная мощность которых не превышает 15 кВт включительно (с учетом ранее присоединенных в данной точке присоединения энергопринимающих устройств), присоединяемых к объектам электросетевого хозяйства сетевой организации на уровне напряжения 0,4 кВ и ниже, при условии, что расстояние от границ участка заявителя до ближайшего объекта электрической сети необходимого заявителю класса напряжения сетевой организации, в которую подана заявка, составляет не более 300 метров в городах и поселках городского типа и не более 500 метров в сельской местности и объектов микрогенерации.</w:t>
      </w:r>
    </w:p>
    <w:p w:rsidR="00A10DA8" w:rsidRDefault="00CA7E8A">
      <w:pPr>
        <w:spacing w:after="0" w:line="240" w:lineRule="auto"/>
        <w:ind w:firstLine="850"/>
        <w:jc w:val="both"/>
      </w:pPr>
      <w:r>
        <w:rPr>
          <w:rFonts w:ascii="Times New Roman" w:hAnsi="Times New Roman" w:cs="Times New Roman"/>
          <w:sz w:val="24"/>
          <w:szCs w:val="24"/>
        </w:rPr>
        <w:t>**Для отдельных социально незащищенных категорий граждан (малообеспеченные семьи, ветераны, инвалиды, чернобыльцы, многодетные семьи и т.д.), при условии, что расстояние от границ участка заявителя до объектов электросетевого хозяйства сетевой организации на уровне напряжения 0,4 кВ и ниже необходимого заявителю класса напряжения, в которую подана заявка, составляет не более 300 метров в городах и поселках городского типа и не более 500 метров в сельской местности.</w:t>
      </w:r>
    </w:p>
    <w:p w:rsidR="00A10DA8" w:rsidRDefault="00CA7E8A">
      <w:pPr>
        <w:spacing w:after="0" w:line="240" w:lineRule="auto"/>
        <w:ind w:firstLine="850"/>
        <w:jc w:val="both"/>
      </w:pPr>
      <w:r>
        <w:rPr>
          <w:rFonts w:ascii="Times New Roman" w:hAnsi="Times New Roman" w:cs="Times New Roman"/>
          <w:sz w:val="24"/>
          <w:szCs w:val="24"/>
        </w:rPr>
        <w:lastRenderedPageBreak/>
        <w:t>В соответствии с п. 87 Основ ценообразования,  льготная ставка за 1 кВт запрашиваемой максимальной мощности для заявителей, максимальная мощность которых не превышает 15 кВт включительно, устанавливается в отношении всей совокупности мероприятий по технологическому присоединению в размере не менее  4 000 руб. за кВт - с 1 июля 2023 и 5 000 руб. за кВт - с 01.07.2024 и начиная с 01.01.2023, индексируется с учетом совокупности индексов цен производителей по подразделу "Строительство" раздела "Капитальные вложения (инвестиции)", публикуемых Министерством экономического развития Российской Федерации (при отсутствии этого индекса используется индекс потребительских цен).</w:t>
      </w:r>
    </w:p>
    <w:p w:rsidR="00A10DA8" w:rsidRDefault="00CA7E8A">
      <w:pPr>
        <w:spacing w:after="0" w:line="240" w:lineRule="auto"/>
        <w:ind w:firstLine="850"/>
        <w:jc w:val="both"/>
        <w:rPr>
          <w:rFonts w:ascii="Times New Roman" w:hAnsi="Times New Roman" w:cs="Times New Roman"/>
          <w:sz w:val="24"/>
          <w:szCs w:val="24"/>
        </w:rPr>
      </w:pPr>
      <w:r>
        <w:rPr>
          <w:rFonts w:ascii="Times New Roman" w:hAnsi="Times New Roman" w:cs="Times New Roman"/>
          <w:sz w:val="24"/>
          <w:szCs w:val="24"/>
        </w:rPr>
        <w:t>Для физических лиц, относящихся к социально незащищенным категориям,  льготная ставка за 1 кВт запрашиваемой максимальной мощности, устанавливается в отношении всей совокупности мероприятий по технологическому присоединению в размере 1 000 руб. за кВт и начиная с 01.01.2023, индексируется с учетом совокупности индексов цен производителей по подразделу "Строительство" раздела "Капитальные вложения (инвестиции)", публикуемых Министерством экономического развития Российской Федерации (при отсутствии этого индекса используется индекс потребительских цен).</w:t>
      </w:r>
    </w:p>
    <w:p w:rsidR="00A10DA8" w:rsidRDefault="00CA7E8A">
      <w:pPr>
        <w:spacing w:after="0" w:line="240" w:lineRule="auto"/>
        <w:ind w:firstLine="850"/>
        <w:jc w:val="both"/>
      </w:pPr>
      <w:r>
        <w:rPr>
          <w:rFonts w:ascii="Times New Roman" w:hAnsi="Times New Roman" w:cs="Times New Roman"/>
          <w:sz w:val="24"/>
          <w:szCs w:val="24"/>
        </w:rPr>
        <w:t xml:space="preserve">В 2024 году индивидуальный размер платы за технологическое присоединение к электрическим сетям АО «Чеченэнерго» установлен </w:t>
      </w:r>
      <w:r>
        <w:rPr>
          <w:rFonts w:ascii="Times New Roman" w:hAnsi="Times New Roman"/>
          <w:sz w:val="24"/>
          <w:szCs w:val="24"/>
        </w:rPr>
        <w:t>для объектов:</w:t>
      </w:r>
    </w:p>
    <w:p w:rsidR="00A10DA8" w:rsidRDefault="00CA7E8A">
      <w:pPr>
        <w:pStyle w:val="afff6"/>
        <w:ind w:firstLine="850"/>
        <w:jc w:val="both"/>
        <w:rPr>
          <w:rFonts w:ascii="Times New Roman" w:hAnsi="Times New Roman"/>
          <w:sz w:val="24"/>
          <w:szCs w:val="24"/>
        </w:rPr>
      </w:pPr>
      <w:r>
        <w:rPr>
          <w:rFonts w:ascii="Times New Roman" w:hAnsi="Times New Roman"/>
          <w:sz w:val="24"/>
          <w:szCs w:val="24"/>
        </w:rPr>
        <w:t>- «Особая экономическая зона производственно-промышленного типа «Грозный» (заявитель - АО «Чеченнефтехимпром») в размере 726,41 млн руб. (без НДС);</w:t>
      </w:r>
    </w:p>
    <w:p w:rsidR="00A10DA8" w:rsidRDefault="00CA7E8A">
      <w:pPr>
        <w:pStyle w:val="afff6"/>
        <w:ind w:firstLine="850"/>
        <w:jc w:val="both"/>
        <w:rPr>
          <w:rFonts w:ascii="Times New Roman" w:hAnsi="Times New Roman"/>
          <w:sz w:val="24"/>
          <w:szCs w:val="24"/>
        </w:rPr>
      </w:pPr>
      <w:r>
        <w:rPr>
          <w:rFonts w:ascii="Times New Roman" w:hAnsi="Times New Roman"/>
          <w:sz w:val="24"/>
          <w:szCs w:val="24"/>
        </w:rPr>
        <w:t>- «Особая экономическая зона производственно-промышленного типа «Грозный» (площадка 2) (заявитель - АО «Чеченнефтехимпром») в размере 721,17 млн руб. (без НДС).</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Снижение ставки платы за единицу мощности в 2023 году в отличие от 2022 года обусловлено увеличением присоединенной мощности на 25 % по отношению к 2022 году. При этом в соответствии с действующим законодательством с 2023 года органами регулирования не устанавливаются ставки за единицу максимальной мощности для расчета платы за технологическое присоединение, что повлияло на размер выручки за технологическое присоединение в 2023 году. </w:t>
      </w:r>
    </w:p>
    <w:p w:rsidR="00A10DA8" w:rsidRDefault="00CA7E8A">
      <w:pPr>
        <w:pStyle w:val="afff6"/>
        <w:ind w:firstLine="850"/>
        <w:rPr>
          <w:rFonts w:ascii="Times New Roman" w:eastAsia="Times New Roman" w:hAnsi="Times New Roman"/>
          <w:sz w:val="24"/>
          <w:szCs w:val="24"/>
          <w:lang w:eastAsia="ru-RU"/>
        </w:rPr>
      </w:pPr>
      <w:r>
        <w:rPr>
          <w:rFonts w:ascii="Times New Roman" w:eastAsia="Times New Roman" w:hAnsi="Times New Roman"/>
          <w:sz w:val="24"/>
          <w:szCs w:val="24"/>
          <w:lang w:eastAsia="ru-RU"/>
        </w:rPr>
        <w:t>Перечень решений регулирующего органа в части установления размера платы за технологическое присоединение на 2024 год:</w:t>
      </w:r>
    </w:p>
    <w:p w:rsidR="00A10DA8" w:rsidRDefault="00CA7E8A">
      <w:pPr>
        <w:pStyle w:val="afff6"/>
        <w:ind w:firstLine="85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решение Правления Государственного комитета цен и тарифов Чеченской Республики от 21.12.2023 № 194-э «Об установлении стандартизированных тарифных ставок платы за технологическое присоединение заявителей к электрическим сетям территориальных сетевых организаций Чеченской Республики на 2024 год» (с изменениями);</w:t>
      </w:r>
    </w:p>
    <w:p w:rsidR="00A10DA8" w:rsidRDefault="00CA7E8A">
      <w:pPr>
        <w:pStyle w:val="afff6"/>
        <w:ind w:firstLine="85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решение Правления Государственного комитета цен и тарифов Чеченской Республики от 21.12.2023 № 195-э «Об установлении стоимости льготной ставки за технологическое присоединение заявителей к электрическим сетям территориальных сетевых организаций Чеченской Республики на 2024 год».</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pStyle w:val="1"/>
        <w:ind w:firstLine="709"/>
        <w:rPr>
          <w:lang w:eastAsia="ar-SA"/>
        </w:rPr>
      </w:pPr>
      <w:bookmarkStart w:id="18" w:name="_Toc195780417"/>
      <w:r>
        <w:rPr>
          <w:lang w:eastAsia="ar-SA"/>
        </w:rPr>
        <w:t>Технологическое присоединение</w:t>
      </w:r>
      <w:bookmarkEnd w:id="18"/>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ab/>
        <w:t>Информация о динамике объемов спроса и оказанных услуг по технологическому присоединению и динамике выручки по технологическому присоединению</w:t>
      </w:r>
    </w:p>
    <w:p w:rsidR="00A10DA8" w:rsidRDefault="00A10DA8">
      <w:pPr>
        <w:spacing w:after="0" w:line="240" w:lineRule="auto"/>
        <w:jc w:val="both"/>
        <w:rPr>
          <w:rFonts w:ascii="Times New Roman" w:eastAsia="Calibri" w:hAnsi="Times New Roman" w:cs="Times New Roman"/>
          <w:b/>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За 2024 год АО «Чеченэнерго» принято заявок на технологическое присоединение к сетям на общую мощность 440,7 МВт, что на 154 % больше по сравнению с 2023 годом (173,5 МВт), количество заявок, принятых в 2024 году, также на 19 % больше (5 907 против 4 945 заявок).</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По итогам 2024 года в сравнении с 2023 годом количество заключенных договоров ТП увеличилось на 24 % и составляет 5 054 шт. (4 073 шт. в 2023 году). Увеличился и объем присоединяемой мощности по заключенным договорам ТП на 147 % и составляет 238,5 МВт (96,6 МВт в 2023 г). </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Количество исполненных договоров ТП за 2024 год составило 4 501 шт. с объемом присоединенной мощности 76,6 МВт (+ 53 % по количеству и + 35 % по общей мощности в сравнении с 2023 годом: 2 941 исполненных договоров ТП на общую мощность 56,7 МВт), общее количество исполненных договоров ТП увеличилось на 1 560 шт. Основное увеличение произошло в категории льготных договоров ТП до 150 кВт., в том числе за счет установки приборов учета в категории заявителей до 15 кВт. План 2024 года по количеству исполненных договоров ТП перевыполнен на 100 %, по объему присоединенной мощности невыполнение плана составило -27%.</w:t>
      </w:r>
    </w:p>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t xml:space="preserve">Увеличение выручки в 2024 году за услуги по технологическому присоединению на 216 % по сравнению с 2023 годом (102,1 против 32,4 млн руб. без НДС) связано с изменением законодательства в части тарифообразования с 01.07.2022 и увеличением стоимости услуг по технологическому присоединению. При этом план 2024 года по выручке не выполнен на 97 % (при плане – 3 424,4 млн руб. без НДС, факт составил – 102,1 млн руб. без НДС), что обусловлено недостаточным объемом финансирования мероприятий по договорам «льготной категории» и переносом срока выполнения мероприятий по договору ТП ВГТРК «Ведучи» на 2025 год с планируемой суммой выручки 3 382,2 млн руб. без НДС. </w:t>
      </w:r>
    </w:p>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t>План 2024 года по показателю «Поступление денежных средств» перевыполнен на 155,7 % (при плановом показателе в 982,3 млн руб. без НДС, факт составил – 2 512,0 млн руб. без НДС). Резкий рост показателя «Поступление денежных средств по ТП» обусловлен внеплановым поступлением денежных средств по вновь заключенным договорам ТП (г. Грозный, м-рн Путина, здания Правительства Республики) с суммой поступивших авансов в объеме 1 100,0 млн. руб. с НДС, а также поступлением внепланового аванса в объеме 1 588 млн руб. с НДС, в связи с пересмотром платы по договору ТП АО Курорты СК ВГТРК «Ведучи».</w:t>
      </w:r>
    </w:p>
    <w:p w:rsidR="00A10DA8" w:rsidRDefault="00A10DA8">
      <w:pPr>
        <w:tabs>
          <w:tab w:val="left" w:pos="142"/>
          <w:tab w:val="left" w:pos="567"/>
          <w:tab w:val="left" w:pos="1418"/>
        </w:tabs>
        <w:spacing w:after="0" w:line="240" w:lineRule="auto"/>
        <w:jc w:val="both"/>
        <w:rPr>
          <w:rFonts w:ascii="Times New Roman" w:eastAsia="Calibri" w:hAnsi="Times New Roman" w:cs="Times New Roman"/>
          <w:b/>
          <w:sz w:val="24"/>
          <w:szCs w:val="24"/>
        </w:rPr>
      </w:pPr>
    </w:p>
    <w:p w:rsidR="00A10DA8" w:rsidRDefault="00CA7E8A">
      <w:pPr>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ab/>
        <w:t>Информация о технологическом присоединении социально значимых крупных и инфраструктурных объектов</w:t>
      </w:r>
    </w:p>
    <w:p w:rsidR="00A10DA8" w:rsidRDefault="00A10DA8">
      <w:pPr>
        <w:tabs>
          <w:tab w:val="left" w:pos="142"/>
          <w:tab w:val="left" w:pos="567"/>
          <w:tab w:val="left" w:pos="1418"/>
        </w:tabs>
        <w:spacing w:after="0" w:line="240" w:lineRule="auto"/>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специалистами Общества выполнены мероприятия по технологическому присоединению крупных объектов, имеющих большое значение для экономического развития Чеченской Республики. Осуществлены подключения к сетям электроснабжения социально значимые объекты: общеобразовательные школы и детские сады с общей мощностью 5,3 МВт, учреждения здравоохранения (амбулаторий, поликлиник, больницы) с общей максимальной мощностью 0,7 МВт.,</w:t>
      </w:r>
      <w:r>
        <w:rPr>
          <w:rFonts w:ascii="Times New Roman" w:eastAsia="Calibri" w:hAnsi="Times New Roman" w:cs="Times New Roman"/>
          <w:color w:val="FF0000"/>
          <w:sz w:val="24"/>
          <w:szCs w:val="24"/>
        </w:rPr>
        <w:t xml:space="preserve"> </w:t>
      </w:r>
      <w:r>
        <w:rPr>
          <w:rFonts w:ascii="Times New Roman" w:eastAsia="Calibri" w:hAnsi="Times New Roman" w:cs="Times New Roman"/>
          <w:sz w:val="24"/>
          <w:szCs w:val="24"/>
        </w:rPr>
        <w:t>Индустриальный парк ОЭЗ ППТ «Грозный» с максимальной мощность 3,4 МВт.</w:t>
      </w:r>
    </w:p>
    <w:p w:rsidR="00A10DA8" w:rsidRDefault="00A10DA8">
      <w:pPr>
        <w:spacing w:after="0" w:line="240" w:lineRule="auto"/>
        <w:ind w:firstLine="709"/>
        <w:jc w:val="both"/>
        <w:rPr>
          <w:rFonts w:ascii="Times New Roman" w:eastAsia="Calibri" w:hAnsi="Times New Roman" w:cs="Times New Roman"/>
          <w:color w:val="FF0000"/>
          <w:sz w:val="24"/>
          <w:szCs w:val="24"/>
        </w:rPr>
      </w:pPr>
    </w:p>
    <w:p w:rsidR="00A10DA8" w:rsidRDefault="00CA7E8A">
      <w:pPr>
        <w:tabs>
          <w:tab w:val="left" w:pos="142"/>
          <w:tab w:val="left" w:pos="567"/>
          <w:tab w:val="left" w:pos="1418"/>
        </w:tabs>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Показатели деятельности в части услуг по технологическому присоединению:</w:t>
      </w:r>
    </w:p>
    <w:tbl>
      <w:tblPr>
        <w:tblW w:w="9387" w:type="dxa"/>
        <w:tblLook w:val="04A0" w:firstRow="1" w:lastRow="0" w:firstColumn="1" w:lastColumn="0" w:noHBand="0" w:noVBand="1"/>
      </w:tblPr>
      <w:tblGrid>
        <w:gridCol w:w="3346"/>
        <w:gridCol w:w="598"/>
        <w:gridCol w:w="1410"/>
        <w:gridCol w:w="1410"/>
        <w:gridCol w:w="1410"/>
        <w:gridCol w:w="1201"/>
        <w:gridCol w:w="12"/>
      </w:tblGrid>
      <w:tr w:rsidR="00A10DA8">
        <w:trPr>
          <w:gridAfter w:val="1"/>
          <w:wAfter w:w="12" w:type="dxa"/>
          <w:trHeight w:val="68"/>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5410" w:type="dxa"/>
            <w:gridSpan w:val="4"/>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A10DA8">
        <w:trPr>
          <w:gridAfter w:val="1"/>
          <w:wAfter w:w="12" w:type="dxa"/>
          <w:trHeight w:val="300"/>
        </w:trPr>
        <w:tc>
          <w:tcPr>
            <w:tcW w:w="3397"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568"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bookmarkStart w:id="19" w:name="RANGE!D4"/>
            <w:r>
              <w:rPr>
                <w:rFonts w:ascii="Times New Roman" w:eastAsia="Times New Roman" w:hAnsi="Times New Roman" w:cs="Times New Roman"/>
                <w:b/>
                <w:bCs/>
                <w:color w:val="000000"/>
                <w:sz w:val="20"/>
                <w:szCs w:val="20"/>
                <w:lang w:eastAsia="ru-RU"/>
              </w:rPr>
              <w:t>2022 год</w:t>
            </w:r>
            <w:bookmarkEnd w:id="19"/>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tc>
        <w:tc>
          <w:tcPr>
            <w:tcW w:w="115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2024/2023, %</w:t>
            </w:r>
          </w:p>
        </w:tc>
      </w:tr>
      <w:tr w:rsidR="00A10DA8">
        <w:trPr>
          <w:gridAfter w:val="1"/>
          <w:wAfter w:w="12" w:type="dxa"/>
          <w:trHeight w:val="300"/>
        </w:trPr>
        <w:tc>
          <w:tcPr>
            <w:tcW w:w="3397"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568"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1159" w:type="dxa"/>
            <w:vMerge/>
            <w:tcBorders>
              <w:top w:val="none" w:sz="4" w:space="0" w:color="000000"/>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Принято в работу заявок на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4 381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4 945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5 907</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Принято в работу заявок на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256 755,0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173 512,8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440 675,96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154</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Заключено договоров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3 770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4 073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5 054</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Заключено договоров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71 019,0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96 566,9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238 501,28</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147</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Исполнено договоров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3 135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2 941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4 501</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Исполнено договоров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72 837,8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56 732,5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76 589,6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Действующие договоры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2 463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10 780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4 314</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Действующие договоры ТП</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223 410,0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375 222,0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436 811,64</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r>
      <w:tr w:rsidR="00A10DA8">
        <w:trPr>
          <w:trHeight w:val="315"/>
        </w:trPr>
        <w:tc>
          <w:tcPr>
            <w:tcW w:w="938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Структура исполненных договоров по категориям заявителей:</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До 15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2 967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2 699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4 271</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 и до 150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183</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150 кВт и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Генерация </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До 15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23 656,2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22 699,7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43 937,5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94</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 и до 150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10 609,9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14 192,1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14 392,3</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150 кВт и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15 371,7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18 340,7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14 859,8</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10 000,0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1 500,0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3 400,0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Генерация </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13 200,0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trHeight w:val="315"/>
        </w:trPr>
        <w:tc>
          <w:tcPr>
            <w:tcW w:w="938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Выручка от деятельности по ТП по категориям заявителей:</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До 15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 и до 150 кВт включительно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Свыше 150 кВт и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15,4</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490</w:t>
            </w:r>
          </w:p>
        </w:tc>
      </w:tr>
      <w:tr w:rsidR="00A10DA8">
        <w:trPr>
          <w:gridAfter w:val="1"/>
          <w:wAfter w:w="12" w:type="dxa"/>
          <w:trHeight w:val="451"/>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 менее 670 кВт</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47,3</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A10DA8">
        <w:trPr>
          <w:gridAfter w:val="1"/>
          <w:wAfter w:w="12" w:type="dxa"/>
          <w:trHeight w:val="203"/>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Генерация</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trHeight w:val="300"/>
        </w:trPr>
        <w:tc>
          <w:tcPr>
            <w:tcW w:w="938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Структура исполненных договоров по отраслям:</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Физические лица</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2848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2595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4107</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A. Сельское, лесное хозяйство, охота, рыболовство и рыбоводство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B. Добыча полезных ископаемых</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C. Обрабатывающие производства</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A10DA8">
        <w:trPr>
          <w:gridAfter w:val="1"/>
          <w:wAfter w:w="12" w:type="dxa"/>
          <w:trHeight w:val="765"/>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D. Обеспечение электрической энергией, газом и паром; кондиционирование воздуха (35.11 Производство электроэнергии и подразделы)</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F. Строительство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G. Торговля оптовая и розничная; ремонт автотранспортных средств и мотоциклов</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H. Транспортировка и хранение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w:t>
            </w:r>
          </w:p>
        </w:tc>
      </w:tr>
      <w:tr w:rsidR="00A10DA8">
        <w:trPr>
          <w:gridAfter w:val="1"/>
          <w:wAfter w:w="12" w:type="dxa"/>
          <w:trHeight w:val="675"/>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J. Деятельность в области информации и связи</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82</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P. Образование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Q. Деятельность в области здравоохранения и социальных услуг</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Прочее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ind w:firstLine="6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187</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r>
      <w:tr w:rsidR="00A10DA8">
        <w:trPr>
          <w:gridAfter w:val="1"/>
          <w:wAfter w:w="12" w:type="dxa"/>
          <w:trHeight w:val="356"/>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Физические лица</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22 889,7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22 102,7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42 782,5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94</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A. Сельское, лесное хозяйство, охота, рыболовство и рыбоводство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424,7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1 024,0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301,0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-71</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B. Добыча полезных ископаемых</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748,0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1 573,0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C. Обрабатывающие производства</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625,0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A10DA8">
        <w:trPr>
          <w:gridAfter w:val="1"/>
          <w:wAfter w:w="12" w:type="dxa"/>
          <w:trHeight w:val="765"/>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D. Обеспечение электрической энергией, газом и паром; кондиционирование воздуха (35.11 Производство электроэнергии и подразделы)</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13 200,0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F. Строительство</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12 293,8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4 655,0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2 669,0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G. Торговля оптовая и розничная; ремонт автотранспортных средств и мотоциклов</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1 584,0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3 187,4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3 194,0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H. Транспортировка и хранение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374,0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w:t>
            </w:r>
          </w:p>
        </w:tc>
      </w:tr>
      <w:tr w:rsidR="00A10DA8">
        <w:trPr>
          <w:gridAfter w:val="1"/>
          <w:wAfter w:w="12" w:type="dxa"/>
          <w:trHeight w:val="675"/>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J. Деятельность в области информации и связи</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315,0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577,3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873,0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P. Образование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9 926,9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6 450,9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4 341,6</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r>
      <w:tr w:rsidR="00A10DA8">
        <w:trPr>
          <w:gridAfter w:val="1"/>
          <w:wAfter w:w="12" w:type="dxa"/>
          <w:trHeight w:val="51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Раздел Q. Деятельность в области здравоохранения и социальных услуг</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321,0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375,0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591,0</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r>
      <w:tr w:rsidR="00A10DA8">
        <w:trPr>
          <w:gridAfter w:val="1"/>
          <w:wAfter w:w="12" w:type="dxa"/>
          <w:trHeight w:val="300"/>
        </w:trPr>
        <w:tc>
          <w:tcPr>
            <w:tcW w:w="3397"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Прочее</w:t>
            </w:r>
          </w:p>
        </w:tc>
        <w:tc>
          <w:tcPr>
            <w:tcW w:w="56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11 829,7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16 613,2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20 215,5</w:t>
            </w:r>
          </w:p>
        </w:tc>
        <w:tc>
          <w:tcPr>
            <w:tcW w:w="11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r>
    </w:tbl>
    <w:p w:rsidR="00A10DA8" w:rsidRDefault="00A10DA8">
      <w:pPr>
        <w:tabs>
          <w:tab w:val="left" w:pos="993"/>
        </w:tabs>
        <w:spacing w:after="0" w:line="240" w:lineRule="auto"/>
        <w:jc w:val="both"/>
        <w:rPr>
          <w:rFonts w:ascii="Times New Roman" w:hAnsi="Times New Roman" w:cs="Times New Roman"/>
          <w:sz w:val="24"/>
          <w:szCs w:val="24"/>
        </w:rPr>
      </w:pPr>
    </w:p>
    <w:p w:rsidR="00A10DA8" w:rsidRDefault="00CA7E8A">
      <w:pPr>
        <w:pStyle w:val="1"/>
        <w:ind w:firstLine="709"/>
        <w:rPr>
          <w:b w:val="0"/>
          <w:lang w:eastAsia="ar-SA"/>
        </w:rPr>
      </w:pPr>
      <w:bookmarkStart w:id="20" w:name="_Toc195780418"/>
      <w:r>
        <w:rPr>
          <w:lang w:eastAsia="ar-SA"/>
        </w:rPr>
        <w:t>Взаимодействие с потребителями</w:t>
      </w:r>
      <w:bookmarkEnd w:id="20"/>
    </w:p>
    <w:p w:rsidR="00A10DA8" w:rsidRDefault="00A10DA8">
      <w:pPr>
        <w:pStyle w:val="afff6"/>
        <w:ind w:firstLine="709"/>
        <w:jc w:val="both"/>
        <w:rPr>
          <w:rFonts w:ascii="Times New Roman" w:hAnsi="Times New Roman"/>
          <w:sz w:val="24"/>
          <w:szCs w:val="24"/>
        </w:rPr>
      </w:pP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Политика АО «Чеченэнерго» в области взаимодействия с потребителями услуг носит клиентоориентированный характер, направленный на простоту и доступность взаимодействия потребителей услуг и Общества. В составе АО «Чеченэнерго» входит 16 районных и городских электрических сетей: Урус-Мартановские, Ачхой-Мартановские, Грозненско-сельские, Шалинские, Веденские, Шатойские, Итум-Калинские, Гудермесские, Ножай-Юртовские, Курчалоевские, Наурские, Надтеречные, Шелковские, Грозненские ГЭС, Аргунские ГЭС, Гудермесские ГЭС и Центральная группа.</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Обслуживание потребителей осуществляется в очной, заочной и интерактивной формах взаимодействия с потребителями. Клиентоориентированность Общества реализуется посредством создания и функционирования системы централизованного обслуживания потребителей услуг. Система обслуживания потребителей базируется на следующих руководящих принципах:</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достаточная информированность потребителей об Обществе и его услугах. Полная и достоверная информация обо всех процедурах взаимодействия носит публичный характер, предоставляется в доступной форме для потребителя услуг;</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территориальная доступность и комфортные условия очного сервиса Общества. Расположение инфраструктурных элементов очного сервиса обеспечивает покрытие зоны ответственности и доступность обслуживания потребителей услуг;</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доступность и оперативность заочного и интерактивного сервисов Общества. Каналы заочной коммуникации с потребителями обеспечивают круглосуточный доступ к заочному сервису и оперативность реакции Общества на запросы потребителя;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квалифицированное обслуживание. Организация всех форм сервиса обеспечивает высокий уровень квалификации и компетенции обслуживающего персонала Общества;</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lastRenderedPageBreak/>
        <w:t>• прозрачность бизнес-процессов обслуживания потребителей и объективность рассмотрения жалоб потребителей. Сетевая организация обеспечивает объективное и непредвзятое рассмотрение жалоб в установленные сроки, возможность обжалования решений, порядок которого доводится до потребителей в соответствии с принципом достаточности информирования.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Система обслуживания потребителей услуг включает три формы обслуживания потребителей услуг: очный сервис, заочный сервис и интерактивный, который можно отнести к форме заочного обслуживания. Информационный обмен Общества с потребителями услуг осуществляется посредством каналов коммуникаций.</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Очная форма предусматривает непосредственные обращения потребителей услуг в офисы очного обслуживания потребителей АО «Чеченэнерго» ЦОП (Центр обслуживание потребителей) и ПРП (Пункты по работе с потребителями), осуществляющих деятельность в соответствии с требованиями «Стандартов качества обслуживания потребителей услуг» АО «Чеченэнерго». ЦОП расположен в г. Грозный, а также 15 ПРП организованные на базе РЭС АО «Чеченэнерго».</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Такой формой обслуживания воспользовались в 2024 году 9 173 потребителя.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В заочной форме в 2024 году потребители услуг имели возможность взаимодействовать с АО «Чеченэнерго», в том числе посредством единого контактного центра группы компаний Россети 8-800-220-0-220. Режим работы круглосуточный. В 2024 году на телефон Единого контакт - центра и «Горячей линии» поступило 16 283 обращения потребителей услуг. Через канцелярию Общества было принято и рассмотрено 292 обращений потребителей услуг.</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Интерактивная форма обслуживания.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На корпоративном сайте АО «Чеченэнерго» по адресу: http://www.chechenergo.ru  в баннерной зоне расположены интерактивные сервисы: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 Запись на прием в офис обслуживания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 День потребителя, запись на прием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Калькулятор стоимости технологического присоединения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 Оцените качество технологического присоединения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Интернет – приемная Генерального директора</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 Портал тп-рф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Реализованные в 2024 году и запланированные изменения. Для повышения качества и доступности услуг АО «Чеченэнерго», а также изучения удовлетворенности потребителей качеством оказываемых услуг АО «Чеченэнерго» в июне и декабре 2024 года проведены исследования посредством письменного опроса потребителей. Опрошено 238 респондентов. При этом 194 респондент в целом выразили удовлетворенность деятельностью сетевой компании.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На сайте </w:t>
      </w:r>
      <w:hyperlink r:id="rId21" w:tooltip="https://www.rossetisk.ru/customer/sistema-obsluzhivaniia-potrebitelei/internet-priemnaia/reception/" w:history="1">
        <w:r>
          <w:rPr>
            <w:rStyle w:val="afb"/>
            <w:rFonts w:ascii="Times New Roman" w:hAnsi="Times New Roman"/>
            <w:sz w:val="24"/>
            <w:szCs w:val="24"/>
          </w:rPr>
          <w:t>https://www.rossetisk.ru/customer/sistema-obsluzhivaniia-potrebitelei/internet-priemnaia/reception/</w:t>
        </w:r>
      </w:hyperlink>
      <w:r>
        <w:rPr>
          <w:rFonts w:ascii="Times New Roman" w:hAnsi="Times New Roman"/>
          <w:sz w:val="24"/>
          <w:szCs w:val="24"/>
        </w:rPr>
        <w:t xml:space="preserve"> – в разделе «Клиентам» размещен интерактивный сервис «Интернет-приемная» (размещена новая интерактивная форма – интернет-приемная). Реализация интерактивного сервиса «Интернет-приемная» упрощает взаимоотношение потребителей с АО «Чеченэнерго», позволяя получить необходимую информацию или эффективно решить возникшие у потребителей услуг проблемы. За 2024 год в «Интернет-приемную» поступило 4 обращения, на которые потребителям был направлен ответ по электронной почте.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Для повышения информационной доступности и открытости деятельности на корпоративном сайте АО «Чеченэнерго» представлена информация об истории развития компании, топ-менеджменте, составе производственных отделений, адресах и контактах, в том числе номера телефонов контакт-центра. Информация о технологическом присоединении размещена на сайте в разделе «Технологическое присоединение». Потребителям представлена информация по описанию процедуры технологического присоединения, расчету платы, контактная информация для подачи заявки, а также образцы типовой документации. В разделе «Потребителям» размещена информация о перечне зон </w:t>
      </w:r>
      <w:r>
        <w:rPr>
          <w:rFonts w:ascii="Times New Roman" w:hAnsi="Times New Roman"/>
          <w:sz w:val="24"/>
          <w:szCs w:val="24"/>
        </w:rPr>
        <w:lastRenderedPageBreak/>
        <w:t>ответственности. На странице АО «Чеченэнерго» в TELEGRAM - канале АО «Чеченэнерго» (https://t.me/chechenergo) размещается информация об аварийных отключениях и новости АО «Чеченэнерго».</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На 2025 год запланированы следующие мероприятия:</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проведение письменных опросов потребителей;</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информирование потребителей в средствах массовой информации и через онлайн сервисы с целью доведения необходимой информации.</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развитие инфраструктуры очного обслуживания потребителей услуг</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развитие инфраструктуры заочного обслуживания потребителей услуг</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развитие спектра дополнительных платных услуг, оказываемых АО «Чеченэнерго».</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Всего в 2024 году в АО «Чеченэнерго» поступило 32 070 обращений потребителей услуг, в том числе: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8 697 – заявок на оказание услуг, из них 5 907 заявок на технологическое присоединение, 1 157 заявок на заключение договора по передаче электроэнергии.</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22 – жалобы потребителей услуг, из них 12 жалоб касающихся технологического присоединения, 1 жалоба отключения электроэнергии и 9 жалобы по прочим тематикам.</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Количество жалоб и обращений, поступивших в 2024 году, увеличилось по сравнению с 2023 года на 32 %. Все поступившие жалобы и обращения рассмотрены в установленные сроки, и потребителям направлены своевременные ответы.</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 xml:space="preserve">Качество работы с потребителями услуг АО «Чеченэнерго» можно оценить по итогам выполнения планового показателя качества оказываемых услуг по ТП, установленного в соответствии с требованиями действующего законодательства в области электроэнергетики. Фактический показатель уровня качества оказываемых услуг по ТП АО «Чеченэнерго» за 2024 год полностью выполнен.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АО «Чеченэнерго»</w:t>
      </w:r>
      <w:r>
        <w:rPr>
          <w:rFonts w:ascii="Times New Roman" w:hAnsi="Times New Roman"/>
          <w:sz w:val="24"/>
          <w:szCs w:val="24"/>
        </w:rPr>
        <w:tab/>
        <w:t>в 2024 году Решением уполномоченного органа в области государственного регулирования тарифов (Главным Управлением по тарифам и ценам Чеченской Республики) на период 2023 год были установлены следующие плановые значения показателей надежности</w:t>
      </w:r>
      <w:r>
        <w:rPr>
          <w:rFonts w:ascii="Times New Roman" w:hAnsi="Times New Roman"/>
          <w:sz w:val="24"/>
          <w:szCs w:val="24"/>
        </w:rPr>
        <w:tab/>
        <w:t xml:space="preserve">Пsaidi, час. 4,50720 Пsaifi, шт, 6,66560 по факту 2024 года показатели составили Пsaidi, час. 4,7805, Пsaifi, шт.  3,8167, что является исполнением плановых показателей надежности оказываемых услуг в 2024 году. </w:t>
      </w:r>
    </w:p>
    <w:p w:rsidR="00A10DA8" w:rsidRDefault="00CA7E8A">
      <w:pPr>
        <w:pStyle w:val="afff6"/>
        <w:ind w:firstLine="709"/>
        <w:jc w:val="both"/>
        <w:rPr>
          <w:rFonts w:ascii="Times New Roman" w:hAnsi="Times New Roman"/>
          <w:sz w:val="24"/>
          <w:szCs w:val="24"/>
        </w:rPr>
      </w:pPr>
      <w:r>
        <w:rPr>
          <w:rFonts w:ascii="Times New Roman" w:hAnsi="Times New Roman"/>
          <w:sz w:val="24"/>
          <w:szCs w:val="24"/>
        </w:rPr>
        <w:t>Показатель уровня качества, осуществляемого ТП на 2024 году установлен на уровне 1, фактическое значение показателя за 2024 год составило 1, что не превышает установленных параметров на 2024 год в размере 25 % отклонения от установленных значений.</w:t>
      </w:r>
    </w:p>
    <w:p w:rsidR="00A10DA8" w:rsidRDefault="00A10DA8">
      <w:pPr>
        <w:spacing w:after="0" w:line="240" w:lineRule="auto"/>
        <w:rPr>
          <w:lang w:eastAsia="ar-SA"/>
        </w:rPr>
      </w:pPr>
    </w:p>
    <w:p w:rsidR="00A10DA8" w:rsidRDefault="00CA7E8A">
      <w:pPr>
        <w:pStyle w:val="1"/>
        <w:ind w:firstLine="709"/>
        <w:rPr>
          <w:b w:val="0"/>
          <w:lang w:eastAsia="ar-SA"/>
        </w:rPr>
      </w:pPr>
      <w:bookmarkStart w:id="21" w:name="_Toc195780419"/>
      <w:r>
        <w:rPr>
          <w:lang w:eastAsia="ar-SA"/>
        </w:rPr>
        <w:t>Реализация дополнительных (нетарифных) услуг</w:t>
      </w:r>
      <w:bookmarkEnd w:id="21"/>
    </w:p>
    <w:p w:rsidR="00A10DA8" w:rsidRDefault="00A10DA8">
      <w:pPr>
        <w:spacing w:after="0" w:line="240" w:lineRule="auto"/>
        <w:ind w:firstLine="709"/>
        <w:jc w:val="both"/>
        <w:rPr>
          <w:rFonts w:ascii="Times New Roman" w:hAnsi="Times New Roman" w:cs="Times New Roman"/>
          <w:sz w:val="24"/>
          <w:szCs w:val="24"/>
          <w:lang w:eastAsia="ar-SA"/>
        </w:rPr>
      </w:pP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По итогам 2024 года выручка от реализации дополнительных (нетарифных) услуг АО «Чеченэнерго» составила 35 601 тыс. руб., в том числе: </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- 14 838 тыс. руб. - доходы от сдачи имущества в аренду и услуг по размещению;</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- 189 тыс. руб. - доходы от сдачи в аренду земли;</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- 16 898 тыс. руб. - доходы от услуг по размещению оборудования на электросетевых объектах;      </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- 3 669 тыс. руб. - доходы от других услуг по прочей операционной деятельности;</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- 7 тыс. руб - доходы от консультационных и организационно-технических услуг.</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Один из крупнейших операторов Чеченской Республики решил временно приостановить услуги по договору, что повлекло недополучение выручки и, соответственно, повлияло на итоговые показатели 2024 года.</w:t>
      </w:r>
    </w:p>
    <w:p w:rsidR="00A10DA8" w:rsidRDefault="00CA7E8A">
      <w:pPr>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Согласно единому перечню дополнительных (нетарифных) услуг</w:t>
      </w:r>
      <w:r>
        <w:rPr>
          <w:rFonts w:ascii="Times New Roman" w:hAnsi="Times New Roman" w:cs="Times New Roman"/>
          <w:sz w:val="24"/>
          <w:szCs w:val="24"/>
        </w:rPr>
        <w:t xml:space="preserve"> ПАО «Россети Северный Кавказ»</w:t>
      </w:r>
      <w:r>
        <w:rPr>
          <w:rFonts w:ascii="Times New Roman" w:hAnsi="Times New Roman" w:cs="Times New Roman"/>
          <w:sz w:val="24"/>
          <w:szCs w:val="24"/>
          <w:lang w:eastAsia="ar-SA"/>
        </w:rPr>
        <w:t>:</w:t>
      </w:r>
    </w:p>
    <w:p w:rsidR="00A10DA8" w:rsidRDefault="00A10DA8">
      <w:pPr>
        <w:spacing w:after="0" w:line="240" w:lineRule="auto"/>
        <w:ind w:firstLine="709"/>
        <w:jc w:val="both"/>
        <w:rPr>
          <w:rFonts w:ascii="Times New Roman" w:hAnsi="Times New Roman" w:cs="Times New Roman"/>
          <w:sz w:val="24"/>
          <w:szCs w:val="24"/>
          <w:lang w:eastAsia="ar-SA"/>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0"/>
        <w:gridCol w:w="1294"/>
        <w:gridCol w:w="1294"/>
        <w:gridCol w:w="1294"/>
        <w:gridCol w:w="1295"/>
      </w:tblGrid>
      <w:tr w:rsidR="00A10DA8">
        <w:trPr>
          <w:cantSplit/>
          <w:trHeight w:val="159"/>
          <w:tblHeader/>
        </w:trPr>
        <w:tc>
          <w:tcPr>
            <w:tcW w:w="4040" w:type="dxa"/>
            <w:vMerge w:val="restart"/>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ar-SA"/>
              </w:rPr>
            </w:pPr>
            <w:bookmarkStart w:id="22" w:name="OLE_LINK1"/>
            <w:r>
              <w:rPr>
                <w:rFonts w:ascii="Times New Roman" w:eastAsia="Times New Roman" w:hAnsi="Times New Roman" w:cs="Times New Roman"/>
                <w:b/>
                <w:bCs/>
                <w:color w:val="000000"/>
                <w:sz w:val="20"/>
                <w:szCs w:val="20"/>
                <w:lang w:eastAsia="ar-SA"/>
              </w:rPr>
              <w:lastRenderedPageBreak/>
              <w:t>Показатель</w:t>
            </w:r>
          </w:p>
        </w:tc>
        <w:tc>
          <w:tcPr>
            <w:tcW w:w="1294" w:type="dxa"/>
            <w:vMerge w:val="restart"/>
            <w:vAlign w:val="center"/>
          </w:tcPr>
          <w:p w:rsidR="00A10DA8" w:rsidRDefault="00CA7E8A">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Ед. изм.</w:t>
            </w:r>
          </w:p>
        </w:tc>
        <w:tc>
          <w:tcPr>
            <w:tcW w:w="3883" w:type="dxa"/>
            <w:gridSpan w:val="3"/>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Период</w:t>
            </w:r>
            <w:bookmarkEnd w:id="22"/>
          </w:p>
        </w:tc>
      </w:tr>
      <w:tr w:rsidR="00A10DA8">
        <w:trPr>
          <w:cantSplit/>
          <w:trHeight w:val="241"/>
          <w:tblHeader/>
        </w:trPr>
        <w:tc>
          <w:tcPr>
            <w:tcW w:w="4040" w:type="dxa"/>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ar-SA"/>
              </w:rPr>
            </w:pPr>
          </w:p>
        </w:tc>
        <w:tc>
          <w:tcPr>
            <w:tcW w:w="1294" w:type="dxa"/>
            <w:vMerge/>
            <w:vAlign w:val="center"/>
          </w:tcPr>
          <w:p w:rsidR="00A10DA8" w:rsidRDefault="00A10DA8">
            <w:pPr>
              <w:spacing w:after="0" w:line="240" w:lineRule="auto"/>
              <w:rPr>
                <w:rFonts w:ascii="Times New Roman" w:eastAsia="Times New Roman" w:hAnsi="Times New Roman" w:cs="Times New Roman"/>
                <w:b/>
                <w:bCs/>
                <w:color w:val="000000"/>
                <w:sz w:val="20"/>
                <w:szCs w:val="20"/>
                <w:lang w:eastAsia="ar-SA"/>
              </w:rPr>
            </w:pPr>
          </w:p>
        </w:tc>
        <w:tc>
          <w:tcPr>
            <w:tcW w:w="1294" w:type="dxa"/>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2022 год факт</w:t>
            </w:r>
          </w:p>
        </w:tc>
        <w:tc>
          <w:tcPr>
            <w:tcW w:w="1294" w:type="dxa"/>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2023 год факт</w:t>
            </w:r>
          </w:p>
        </w:tc>
        <w:tc>
          <w:tcPr>
            <w:tcW w:w="1295" w:type="dxa"/>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2024 год факт</w:t>
            </w:r>
          </w:p>
        </w:tc>
      </w:tr>
      <w:tr w:rsidR="00A10DA8">
        <w:trPr>
          <w:cantSplit/>
          <w:trHeight w:val="353"/>
        </w:trPr>
        <w:tc>
          <w:tcPr>
            <w:tcW w:w="4040" w:type="dxa"/>
            <w:vAlign w:val="center"/>
          </w:tcPr>
          <w:p w:rsidR="00A10DA8" w:rsidRDefault="00CA7E8A">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Выручка от реализации дополнительных (нетарифных) услуг прочей деятельности</w:t>
            </w:r>
          </w:p>
        </w:tc>
        <w:tc>
          <w:tcPr>
            <w:tcW w:w="1294" w:type="dxa"/>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294" w:type="dxa"/>
            <w:tcBorders>
              <w:top w:val="single" w:sz="4" w:space="0" w:color="auto"/>
              <w:left w:val="single" w:sz="4" w:space="0" w:color="auto"/>
              <w:bottom w:val="single" w:sz="4" w:space="0" w:color="auto"/>
              <w:right w:val="single" w:sz="4" w:space="0" w:color="auto"/>
            </w:tcBorders>
            <w:vAlign w:val="center"/>
          </w:tcPr>
          <w:p w:rsidR="00A10DA8" w:rsidRDefault="00CA7E8A">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25 804</w:t>
            </w:r>
          </w:p>
        </w:tc>
        <w:tc>
          <w:tcPr>
            <w:tcW w:w="1294" w:type="dxa"/>
            <w:tcBorders>
              <w:top w:val="single" w:sz="4" w:space="0" w:color="auto"/>
              <w:left w:val="single" w:sz="4" w:space="0" w:color="auto"/>
              <w:bottom w:val="single" w:sz="4" w:space="0" w:color="auto"/>
              <w:right w:val="single" w:sz="4" w:space="0" w:color="auto"/>
            </w:tcBorders>
            <w:vAlign w:val="center"/>
          </w:tcPr>
          <w:p w:rsidR="00A10DA8" w:rsidRDefault="00CA7E8A">
            <w:pPr>
              <w:spacing w:after="0" w:line="240" w:lineRule="auto"/>
              <w:jc w:val="center"/>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55 632</w:t>
            </w:r>
          </w:p>
        </w:tc>
        <w:tc>
          <w:tcPr>
            <w:tcW w:w="1295" w:type="dxa"/>
            <w:shd w:val="clear" w:color="auto" w:fill="auto"/>
            <w:vAlign w:val="center"/>
          </w:tcPr>
          <w:p w:rsidR="00A10DA8" w:rsidRDefault="00CA7E8A">
            <w:pPr>
              <w:spacing w:after="0" w:line="240" w:lineRule="auto"/>
              <w:jc w:val="center"/>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35 601</w:t>
            </w:r>
          </w:p>
        </w:tc>
      </w:tr>
      <w:tr w:rsidR="00A10DA8">
        <w:trPr>
          <w:cantSplit/>
          <w:trHeight w:val="241"/>
        </w:trPr>
        <w:tc>
          <w:tcPr>
            <w:tcW w:w="4040" w:type="dxa"/>
            <w:vAlign w:val="center"/>
          </w:tcPr>
          <w:p w:rsidR="00A10DA8" w:rsidRDefault="00CA7E8A">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Объем нетарифной выручки от прочих видов деятельности</w:t>
            </w:r>
          </w:p>
        </w:tc>
        <w:tc>
          <w:tcPr>
            <w:tcW w:w="1294" w:type="dxa"/>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w:t>
            </w:r>
          </w:p>
        </w:tc>
        <w:tc>
          <w:tcPr>
            <w:tcW w:w="1294"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1294"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jc w:val="center"/>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val="en-US" w:eastAsia="ar-SA"/>
              </w:rPr>
              <w:t>3,9</w:t>
            </w:r>
          </w:p>
        </w:tc>
        <w:tc>
          <w:tcPr>
            <w:tcW w:w="1295" w:type="dxa"/>
            <w:shd w:val="clear" w:color="auto" w:fill="auto"/>
            <w:vAlign w:val="center"/>
          </w:tcPr>
          <w:p w:rsidR="00A10DA8" w:rsidRDefault="00CA7E8A">
            <w:pPr>
              <w:spacing w:after="0" w:line="240" w:lineRule="auto"/>
              <w:jc w:val="center"/>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2,2</w:t>
            </w:r>
          </w:p>
        </w:tc>
      </w:tr>
    </w:tbl>
    <w:p w:rsidR="00A10DA8" w:rsidRDefault="00A10DA8">
      <w:pPr>
        <w:spacing w:after="0" w:line="240" w:lineRule="auto"/>
        <w:ind w:firstLine="567"/>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Отдел дополнительных (нетарифных) услуг занимается развитием клиентской деятельности в сфере обслуживания потребителей, предлагая широкий спектр дополнительных услуг ПАО «Россети Северный Кавказ» в рамках эксплуатации и обслуживания объектов электросетевого хозяйства.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 при участии блока оказания дополнительных (нетарифных) услуг ПАО «Россети Северный Кавказ» на территории Чеченской Республики осуществлено технологическое присоединение первой в России солнечной электростанции с использованием трекерной системы слежения за положением Солнца Ачхой-Мартановской СЭС, установленной мощностью 9 МВт. В рамках реализации мероприятий по технологическому присоединению проведена реконструкция ПС 110/35/10 кВ Самашки с установкой двух дополнительных линейных ячеек на I и II СШ РУ-10 кВ с вакуумными выключателями.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На 2025 год установлены плановые показатели по выручке от оказания дополнительных (нетарифных) услуг в размере 98,502 млн руб. В рамках достижения этих показателей планируется развитие спектра оказываемых услуг в соответствии с утвержденным прейскурантом стоимости дополнительных (нетарифных) услуг.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Перспективные проекты и задачи на 2025-2029 гг. в направлении развития дополнительных (нетарифных) услуг включают:</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заключение договоров аренды опор электрических сетей ВЛ 0,4-10 кВ для реализации проектов, направленных на создание и развитие цифровой инфраструктуры в Северо-Кавказском регионе;</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заключение договоров на размещение оборудования на объектах электросетевого хозяйства Общества.</w:t>
      </w:r>
    </w:p>
    <w:p w:rsidR="00A10DA8" w:rsidRDefault="00A10DA8">
      <w:pPr>
        <w:pStyle w:val="aff"/>
        <w:tabs>
          <w:tab w:val="left" w:pos="993"/>
        </w:tabs>
        <w:ind w:left="0" w:right="-143" w:firstLine="709"/>
        <w:jc w:val="both"/>
        <w:rPr>
          <w:rFonts w:ascii="Times New Roman" w:hAnsi="Times New Roman" w:cs="Times New Roman"/>
          <w:sz w:val="24"/>
          <w:szCs w:val="24"/>
        </w:rPr>
      </w:pPr>
    </w:p>
    <w:p w:rsidR="00A10DA8" w:rsidRDefault="00CA7E8A">
      <w:pPr>
        <w:pStyle w:val="aff"/>
        <w:tabs>
          <w:tab w:val="left" w:pos="993"/>
        </w:tabs>
        <w:ind w:left="0" w:right="-143" w:firstLine="709"/>
        <w:jc w:val="both"/>
        <w:outlineLvl w:val="0"/>
        <w:rPr>
          <w:rFonts w:ascii="Times New Roman" w:hAnsi="Times New Roman" w:cs="Times New Roman"/>
          <w:b/>
          <w:sz w:val="24"/>
          <w:szCs w:val="24"/>
        </w:rPr>
      </w:pPr>
      <w:bookmarkStart w:id="23" w:name="_Toc195780420"/>
      <w:r>
        <w:rPr>
          <w:rFonts w:ascii="Times New Roman" w:hAnsi="Times New Roman" w:cs="Times New Roman"/>
          <w:b/>
          <w:sz w:val="24"/>
          <w:szCs w:val="24"/>
        </w:rPr>
        <w:t>Инвестиционная деятельность</w:t>
      </w:r>
      <w:bookmarkEnd w:id="23"/>
    </w:p>
    <w:p w:rsidR="00A10DA8" w:rsidRDefault="00A10DA8">
      <w:pPr>
        <w:pStyle w:val="aff"/>
        <w:tabs>
          <w:tab w:val="left" w:pos="993"/>
        </w:tabs>
        <w:ind w:left="0" w:right="-143" w:firstLine="709"/>
        <w:jc w:val="both"/>
        <w:rPr>
          <w:rFonts w:ascii="Times New Roman" w:hAnsi="Times New Roman" w:cs="Times New Roman"/>
          <w:sz w:val="24"/>
          <w:szCs w:val="24"/>
        </w:rPr>
      </w:pPr>
    </w:p>
    <w:p w:rsidR="00A10DA8" w:rsidRDefault="00CA7E8A">
      <w:pPr>
        <w:tabs>
          <w:tab w:val="left" w:pos="1134"/>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Параметры инвестиционной деятельности</w:t>
      </w:r>
    </w:p>
    <w:p w:rsidR="00A10DA8" w:rsidRDefault="00A10DA8">
      <w:pPr>
        <w:tabs>
          <w:tab w:val="left" w:pos="142"/>
          <w:tab w:val="left" w:pos="935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Инвестиционная программа Общества на 2024 год утверждена приказом Минэнерго России от 12.12.2024 № 35@.</w:t>
      </w:r>
    </w:p>
    <w:p w:rsidR="00A10DA8" w:rsidRDefault="00A10DA8">
      <w:pPr>
        <w:spacing w:after="0" w:line="240" w:lineRule="auto"/>
        <w:ind w:firstLine="709"/>
        <w:jc w:val="both"/>
        <w:rPr>
          <w:rFonts w:ascii="Times New Roman" w:eastAsia="Times New Roman" w:hAnsi="Times New Roman" w:cs="Times New Roman"/>
          <w:sz w:val="24"/>
          <w:szCs w:val="24"/>
          <w:lang w:eastAsia="ru-RU"/>
        </w:rPr>
      </w:pPr>
    </w:p>
    <w:p w:rsidR="00A10DA8" w:rsidRDefault="00CA7E8A">
      <w:pPr>
        <w:tabs>
          <w:tab w:val="left" w:pos="9356"/>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Основные параметры инвестиционной программы на 2024 год</w:t>
      </w:r>
    </w:p>
    <w:tbl>
      <w:tblPr>
        <w:tblW w:w="35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318"/>
        <w:gridCol w:w="1909"/>
        <w:gridCol w:w="965"/>
        <w:gridCol w:w="1052"/>
      </w:tblGrid>
      <w:tr w:rsidR="00A10DA8">
        <w:trPr>
          <w:trHeight w:val="164"/>
          <w:jc w:val="center"/>
        </w:trPr>
        <w:tc>
          <w:tcPr>
            <w:tcW w:w="1081"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b/>
                <w:bCs/>
                <w:sz w:val="20"/>
                <w:szCs w:val="20"/>
                <w:lang w:val="en-US" w:eastAsia="ru-RU"/>
              </w:rPr>
            </w:pPr>
            <w:r>
              <w:rPr>
                <w:rFonts w:ascii="Times New Roman" w:eastAsia="Times New Roman" w:hAnsi="Times New Roman" w:cs="Times New Roman"/>
                <w:b/>
                <w:bCs/>
                <w:sz w:val="20"/>
                <w:szCs w:val="20"/>
                <w:lang w:eastAsia="ru-RU"/>
              </w:rPr>
              <w:t>Освоение</w:t>
            </w:r>
          </w:p>
        </w:tc>
        <w:tc>
          <w:tcPr>
            <w:tcW w:w="985"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Ввод ОФ</w:t>
            </w:r>
          </w:p>
        </w:tc>
        <w:tc>
          <w:tcPr>
            <w:tcW w:w="1427"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Финансирование</w:t>
            </w:r>
          </w:p>
        </w:tc>
        <w:tc>
          <w:tcPr>
            <w:tcW w:w="1507" w:type="pct"/>
            <w:gridSpan w:val="2"/>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Ввод мощности</w:t>
            </w:r>
          </w:p>
        </w:tc>
      </w:tr>
      <w:tr w:rsidR="00A10DA8">
        <w:trPr>
          <w:trHeight w:val="491"/>
          <w:jc w:val="center"/>
        </w:trPr>
        <w:tc>
          <w:tcPr>
            <w:tcW w:w="1081"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млн руб., без НДС</w:t>
            </w:r>
          </w:p>
        </w:tc>
        <w:tc>
          <w:tcPr>
            <w:tcW w:w="985"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млн руб. без НДС</w:t>
            </w:r>
          </w:p>
        </w:tc>
        <w:tc>
          <w:tcPr>
            <w:tcW w:w="1427"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млн руб. с НДС</w:t>
            </w:r>
          </w:p>
        </w:tc>
        <w:tc>
          <w:tcPr>
            <w:tcW w:w="721"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МВА</w:t>
            </w:r>
          </w:p>
        </w:tc>
        <w:tc>
          <w:tcPr>
            <w:tcW w:w="786"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км</w:t>
            </w:r>
          </w:p>
        </w:tc>
      </w:tr>
      <w:tr w:rsidR="00A10DA8">
        <w:trPr>
          <w:jc w:val="center"/>
        </w:trPr>
        <w:tc>
          <w:tcPr>
            <w:tcW w:w="1081"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7 272,30</w:t>
            </w:r>
          </w:p>
        </w:tc>
        <w:tc>
          <w:tcPr>
            <w:tcW w:w="985"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3 254,02</w:t>
            </w:r>
          </w:p>
        </w:tc>
        <w:tc>
          <w:tcPr>
            <w:tcW w:w="1427"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6 923,64</w:t>
            </w:r>
          </w:p>
        </w:tc>
        <w:tc>
          <w:tcPr>
            <w:tcW w:w="721"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148,66</w:t>
            </w:r>
          </w:p>
        </w:tc>
        <w:tc>
          <w:tcPr>
            <w:tcW w:w="786" w:type="pct"/>
            <w:shd w:val="clear" w:color="auto" w:fill="auto"/>
          </w:tcPr>
          <w:p w:rsidR="00A10DA8" w:rsidRDefault="00CA7E8A">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719,05</w:t>
            </w:r>
          </w:p>
        </w:tc>
      </w:tr>
    </w:tbl>
    <w:p w:rsidR="00A10DA8" w:rsidRDefault="00A10DA8">
      <w:pPr>
        <w:spacing w:after="0" w:line="240" w:lineRule="auto"/>
        <w:ind w:firstLine="709"/>
        <w:jc w:val="both"/>
        <w:rPr>
          <w:rFonts w:ascii="Times New Roman" w:eastAsia="Times New Roman" w:hAnsi="Times New Roman" w:cs="Times New Roman"/>
          <w:sz w:val="28"/>
          <w:szCs w:val="28"/>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2024 году АО «Чеченэнерго» освоено капитальных вложений на сумму 3 466,85 млн руб. без НДС, профинансировано выполненных работ в объёме 4 638,55 млн руб. с НДС. Общий ввод основных фондов составил 3 464,85 млн руб., введено линий электропередачи общей протяжённостью 698,13 км и 159,00 МВА трансформаторной мощности.</w:t>
      </w:r>
    </w:p>
    <w:p w:rsidR="00A10DA8" w:rsidRDefault="00A10DA8">
      <w:pPr>
        <w:spacing w:after="0" w:line="240" w:lineRule="auto"/>
        <w:ind w:firstLine="709"/>
        <w:jc w:val="both"/>
        <w:rPr>
          <w:rFonts w:ascii="Times New Roman" w:eastAsia="Times New Roman" w:hAnsi="Times New Roman" w:cs="Times New Roman"/>
          <w:sz w:val="24"/>
          <w:szCs w:val="24"/>
          <w:lang w:eastAsia="ru-RU"/>
        </w:rPr>
      </w:pP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9"/>
        <w:gridCol w:w="1070"/>
        <w:gridCol w:w="1046"/>
        <w:gridCol w:w="1034"/>
        <w:gridCol w:w="1006"/>
        <w:gridCol w:w="1163"/>
      </w:tblGrid>
      <w:tr w:rsidR="00A10DA8">
        <w:trPr>
          <w:cantSplit/>
          <w:trHeight w:val="64"/>
        </w:trPr>
        <w:tc>
          <w:tcPr>
            <w:tcW w:w="2197" w:type="pct"/>
            <w:vMerge w:val="restart"/>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564" w:type="pct"/>
            <w:vMerge w:val="restart"/>
            <w:vAlign w:val="center"/>
          </w:tcPr>
          <w:p w:rsidR="00A10DA8" w:rsidRDefault="00CA7E8A">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2238" w:type="pct"/>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r>
      <w:tr w:rsidR="00A10DA8">
        <w:trPr>
          <w:cantSplit/>
        </w:trPr>
        <w:tc>
          <w:tcPr>
            <w:tcW w:w="2197" w:type="pct"/>
            <w:vMerge/>
            <w:vAlign w:val="center"/>
          </w:tcPr>
          <w:p w:rsidR="00A10DA8" w:rsidRDefault="00A10DA8">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564" w:type="pct"/>
            <w:vMerge/>
            <w:vAlign w:val="center"/>
          </w:tcPr>
          <w:p w:rsidR="00A10DA8" w:rsidRDefault="00A10DA8">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551" w:type="pct"/>
            <w:shd w:val="clear" w:color="auto" w:fill="auto"/>
            <w:vAlign w:val="center"/>
          </w:tcPr>
          <w:p w:rsidR="00A10DA8" w:rsidRDefault="00CA7E8A">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w:t>
            </w:r>
          </w:p>
        </w:tc>
        <w:tc>
          <w:tcPr>
            <w:tcW w:w="545" w:type="pct"/>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530" w:type="pct"/>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w:t>
            </w:r>
          </w:p>
        </w:tc>
        <w:tc>
          <w:tcPr>
            <w:tcW w:w="612" w:type="pct"/>
            <w:vAlign w:val="center"/>
          </w:tcPr>
          <w:p w:rsidR="00A10DA8" w:rsidRDefault="00CA7E8A">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w:t>
            </w:r>
          </w:p>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2024/2023, %</w:t>
            </w:r>
          </w:p>
        </w:tc>
      </w:tr>
      <w:tr w:rsidR="00A10DA8">
        <w:trPr>
          <w:cantSplit/>
        </w:trPr>
        <w:tc>
          <w:tcPr>
            <w:tcW w:w="2197" w:type="pct"/>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564" w:type="pct"/>
            <w:vAlign w:val="center"/>
          </w:tcPr>
          <w:p w:rsidR="00A10DA8" w:rsidRDefault="00CA7E8A">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551" w:type="pct"/>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545" w:type="pct"/>
            <w:shd w:val="clear" w:color="auto" w:fill="auto"/>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530" w:type="pct"/>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612" w:type="pct"/>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A10DA8">
        <w:trPr>
          <w:cantSplit/>
        </w:trPr>
        <w:tc>
          <w:tcPr>
            <w:tcW w:w="5000" w:type="pct"/>
            <w:gridSpan w:val="6"/>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
                <w:color w:val="000000"/>
                <w:sz w:val="20"/>
                <w:szCs w:val="20"/>
                <w:lang w:eastAsia="ru-RU"/>
              </w:rPr>
              <w:t>Исполнение инвестиционной программы</w:t>
            </w:r>
          </w:p>
        </w:tc>
      </w:tr>
      <w:tr w:rsidR="00A10DA8">
        <w:trPr>
          <w:cantSplit/>
        </w:trPr>
        <w:tc>
          <w:tcPr>
            <w:tcW w:w="2197" w:type="pct"/>
            <w:vAlign w:val="center"/>
          </w:tcPr>
          <w:p w:rsidR="00A10DA8" w:rsidRDefault="00CA7E8A">
            <w:pPr>
              <w:tabs>
                <w:tab w:val="left" w:pos="9356"/>
              </w:tabs>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Объем финансирования </w:t>
            </w:r>
          </w:p>
        </w:tc>
        <w:tc>
          <w:tcPr>
            <w:tcW w:w="564" w:type="pct"/>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551" w:type="pct"/>
            <w:shd w:val="clear" w:color="auto" w:fill="auto"/>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2 455,99</w:t>
            </w:r>
          </w:p>
        </w:tc>
        <w:tc>
          <w:tcPr>
            <w:tcW w:w="545"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3 974,76</w:t>
            </w:r>
          </w:p>
        </w:tc>
        <w:tc>
          <w:tcPr>
            <w:tcW w:w="530"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4 638,55</w:t>
            </w:r>
          </w:p>
        </w:tc>
        <w:tc>
          <w:tcPr>
            <w:tcW w:w="612"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17</w:t>
            </w:r>
          </w:p>
        </w:tc>
      </w:tr>
      <w:tr w:rsidR="00A10DA8">
        <w:trPr>
          <w:cantSplit/>
        </w:trPr>
        <w:tc>
          <w:tcPr>
            <w:tcW w:w="2197" w:type="pct"/>
            <w:vAlign w:val="center"/>
          </w:tcPr>
          <w:p w:rsidR="00A10DA8" w:rsidRDefault="00CA7E8A">
            <w:pPr>
              <w:tabs>
                <w:tab w:val="left" w:pos="9356"/>
              </w:tabs>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564" w:type="pct"/>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551" w:type="pct"/>
            <w:shd w:val="clear" w:color="auto" w:fill="auto"/>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1 858,23</w:t>
            </w:r>
          </w:p>
        </w:tc>
        <w:tc>
          <w:tcPr>
            <w:tcW w:w="545"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2 648,41</w:t>
            </w:r>
          </w:p>
        </w:tc>
        <w:tc>
          <w:tcPr>
            <w:tcW w:w="530"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3 466,85</w:t>
            </w:r>
          </w:p>
        </w:tc>
        <w:tc>
          <w:tcPr>
            <w:tcW w:w="612"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31</w:t>
            </w:r>
          </w:p>
        </w:tc>
      </w:tr>
      <w:tr w:rsidR="00A10DA8">
        <w:trPr>
          <w:cantSplit/>
        </w:trPr>
        <w:tc>
          <w:tcPr>
            <w:tcW w:w="2197" w:type="pct"/>
            <w:vAlign w:val="center"/>
          </w:tcPr>
          <w:p w:rsidR="00A10DA8" w:rsidRDefault="00CA7E8A">
            <w:pPr>
              <w:tabs>
                <w:tab w:val="left" w:pos="9356"/>
              </w:tabs>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Ввод в состав основных средств </w:t>
            </w:r>
          </w:p>
        </w:tc>
        <w:tc>
          <w:tcPr>
            <w:tcW w:w="564" w:type="pct"/>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551" w:type="pct"/>
            <w:shd w:val="clear" w:color="auto" w:fill="auto"/>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1 199,24</w:t>
            </w:r>
          </w:p>
        </w:tc>
        <w:tc>
          <w:tcPr>
            <w:tcW w:w="545"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758,41</w:t>
            </w:r>
          </w:p>
        </w:tc>
        <w:tc>
          <w:tcPr>
            <w:tcW w:w="530"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3 464,85</w:t>
            </w:r>
          </w:p>
        </w:tc>
        <w:tc>
          <w:tcPr>
            <w:tcW w:w="612"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357</w:t>
            </w:r>
          </w:p>
        </w:tc>
      </w:tr>
      <w:tr w:rsidR="00A10DA8">
        <w:trPr>
          <w:cantSplit/>
          <w:trHeight w:val="537"/>
        </w:trPr>
        <w:tc>
          <w:tcPr>
            <w:tcW w:w="2197" w:type="pct"/>
            <w:vAlign w:val="center"/>
          </w:tcPr>
          <w:p w:rsidR="00A10DA8" w:rsidRDefault="00CA7E8A">
            <w:pPr>
              <w:tabs>
                <w:tab w:val="left" w:pos="9356"/>
              </w:tabs>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564" w:type="pct"/>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МВА</w:t>
            </w:r>
          </w:p>
        </w:tc>
        <w:tc>
          <w:tcPr>
            <w:tcW w:w="551" w:type="pct"/>
            <w:shd w:val="clear" w:color="auto" w:fill="auto"/>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36,48</w:t>
            </w:r>
          </w:p>
        </w:tc>
        <w:tc>
          <w:tcPr>
            <w:tcW w:w="545"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14,11</w:t>
            </w:r>
          </w:p>
        </w:tc>
        <w:tc>
          <w:tcPr>
            <w:tcW w:w="530"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159,00</w:t>
            </w:r>
          </w:p>
        </w:tc>
        <w:tc>
          <w:tcPr>
            <w:tcW w:w="612"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1 027</w:t>
            </w:r>
          </w:p>
        </w:tc>
      </w:tr>
      <w:tr w:rsidR="00A10DA8">
        <w:trPr>
          <w:cantSplit/>
          <w:trHeight w:val="573"/>
        </w:trPr>
        <w:tc>
          <w:tcPr>
            <w:tcW w:w="2197" w:type="pct"/>
            <w:vAlign w:val="center"/>
          </w:tcPr>
          <w:p w:rsidR="00A10DA8" w:rsidRDefault="00CA7E8A">
            <w:pPr>
              <w:tabs>
                <w:tab w:val="left" w:pos="9356"/>
              </w:tabs>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564" w:type="pct"/>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км</w:t>
            </w:r>
          </w:p>
        </w:tc>
        <w:tc>
          <w:tcPr>
            <w:tcW w:w="551" w:type="pct"/>
            <w:shd w:val="clear" w:color="auto" w:fill="auto"/>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545,13</w:t>
            </w:r>
          </w:p>
        </w:tc>
        <w:tc>
          <w:tcPr>
            <w:tcW w:w="545"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323,56</w:t>
            </w:r>
          </w:p>
        </w:tc>
        <w:tc>
          <w:tcPr>
            <w:tcW w:w="530"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698,13</w:t>
            </w:r>
          </w:p>
        </w:tc>
        <w:tc>
          <w:tcPr>
            <w:tcW w:w="612" w:type="pct"/>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116</w:t>
            </w:r>
          </w:p>
        </w:tc>
      </w:tr>
    </w:tbl>
    <w:p w:rsidR="00A10DA8" w:rsidRDefault="00A10DA8">
      <w:pPr>
        <w:spacing w:after="0" w:line="240" w:lineRule="auto"/>
        <w:ind w:firstLine="709"/>
        <w:jc w:val="both"/>
        <w:rPr>
          <w:rFonts w:ascii="Times New Roman" w:eastAsia="Times New Roman" w:hAnsi="Times New Roman" w:cs="Times New Roman"/>
          <w:sz w:val="24"/>
          <w:szCs w:val="24"/>
          <w:lang w:eastAsia="ru-RU"/>
        </w:rPr>
      </w:pPr>
    </w:p>
    <w:p w:rsidR="00A10DA8" w:rsidRDefault="00CA7E8A">
      <w:pPr>
        <w:tabs>
          <w:tab w:val="left" w:pos="9356"/>
        </w:tabs>
        <w:spacing w:after="0" w:line="240" w:lineRule="auto"/>
        <w:ind w:firstLine="709"/>
        <w:jc w:val="both"/>
        <w:rPr>
          <w:rFonts w:ascii="Times New Roman" w:eastAsia="Times New Roman" w:hAnsi="Times New Roman" w:cs="Times New Roman"/>
          <w:b/>
          <w:sz w:val="24"/>
          <w:szCs w:val="28"/>
          <w:lang w:eastAsia="ru-RU"/>
        </w:rPr>
      </w:pPr>
      <w:r>
        <w:rPr>
          <w:rFonts w:ascii="Times New Roman" w:eastAsia="Times New Roman" w:hAnsi="Times New Roman" w:cs="Times New Roman"/>
          <w:b/>
          <w:sz w:val="24"/>
          <w:szCs w:val="28"/>
          <w:lang w:eastAsia="ru-RU"/>
        </w:rPr>
        <w:t>Направления и структура финансирования капитальных вложений</w:t>
      </w:r>
    </w:p>
    <w:p w:rsidR="00A10DA8" w:rsidRDefault="00A10DA8">
      <w:pPr>
        <w:spacing w:after="0" w:line="240" w:lineRule="auto"/>
        <w:ind w:firstLine="709"/>
        <w:jc w:val="both"/>
        <w:rPr>
          <w:rFonts w:ascii="Times New Roman" w:eastAsia="Times New Roman" w:hAnsi="Times New Roman" w:cs="Times New Roman"/>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Основной целью Общества в части инвестиционной деятельности является расширение действующей и строительство новой электросетевой инфраструктуры, для обеспечения надёжного электроснабжения и подключения новых потребителей и социально значимых объектов Чеченской Республики, в том числе по технологическому присоединению к электрическим сетям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2024 году выполнены работы по следующим наиболее крупным объектам:</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и строительство объектов в рамках технологического присоединения энергопринимающих устройств ВТРК «Ведучи» к электрическим сетям АО «Чеченэнерго»;</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и строительство объектов в рамках технологического присоединения энергопринимающих устройств Башенной МГЭС;</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ПС 110/10 кВ Город в рамках технологического присоединения энергопринимающих устройств Министерства здравоохранения Чеченской Республики.</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Кроме того, в числе приоритетных объектов, выполненных в 2024 году, следует выделить реконструкцию ВЛ 110 кВ ПС Наурская - ПС №84 (Л-185) – 3 этап, а также объекты, реализуемые в рамках </w:t>
      </w:r>
      <w:r>
        <w:rPr>
          <w:rFonts w:ascii="Times New Roman" w:eastAsia="Calibri" w:hAnsi="Times New Roman" w:cs="Times New Roman"/>
          <w:sz w:val="24"/>
          <w:szCs w:val="24"/>
        </w:rPr>
        <w:t>Плана (программы) снижения потерь электрической энергии в электрических сетях АО «Чеченэнерго»</w:t>
      </w:r>
      <w:r>
        <w:rPr>
          <w:rFonts w:ascii="Times New Roman" w:eastAsia="Times New Roman" w:hAnsi="Times New Roman" w:cs="Times New Roman"/>
          <w:sz w:val="24"/>
          <w:szCs w:val="24"/>
          <w:lang w:eastAsia="ru-RU"/>
        </w:rPr>
        <w:t xml:space="preserve"> и Программы модернизации и повышения надежности электросетевого комплекса Чеченской Республики согласно Плану развития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и реконструкция сети 10-0,4 кВ (ВЛ 0,4 кВ протяженностью 67,188 км, ВЛ-10 кВ протяженностью 4,401 км, ТП 6(10)/0,4 кВ общей мощностью 6,75 МВА) в рамках «Плана (программы) снижения потерь электрической энергии в электрических сетях Ачхой-Мартановских РЭС АО «Чеченэнерго». Объект завершен в 2024 году и введен в основные фонды в объеме 104,91 млн руб. без НДС, 62,09 км линий электропередачи и 6,75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и реконструкция сети 10-0,4 кВ (ВЛ 0,4 кВ протяженностью 58,412 км, ВЛ-10 кВ протяженностью 1,914 км, ТП 6(10)/0,4 кВ общей мощностью 2,129 МВА) в рамках «Плана (программы) снижения потерь электрической энергии в электрических сетях Веденских РЭС АО «Чеченэнерго». Объект завершен в 2024 году и введен в основные фонды в объеме 44,04 млн руб. без НДС, 31,15 км линий электропередачи и 2,13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и реконструкция сети 10-0,4 кВ (ВЛ 0,4 кВ протяженностью 199,463 км, ВЛ-10 кВ протяженностью 11,304 км, КЛ-10 кВ протяженностью 31,561 км, ТП 6(10)/0,4 кВ общей мощностью 7,09 МВА) в рамках «Плана (программы) снижения потерь электрической энергии в электрических сетях Грозненских ГЭС АО «Чеченэнерго». Объект завершен в 2024 году и введен в основные фонды в объеме 212,21 млн руб. без НДС, 184,57 км линий электропередачи и 6,14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Строительство и реконструкция сети 10-0,4 кВ (ВЛ 0,4 кВ протяженностью 101,848 км, ВЛ-10 кВ протяженностью 4,222 км, ТП 6(10)/0,4 кВ общей мощностью 9,129 МВА) в </w:t>
      </w:r>
      <w:r>
        <w:rPr>
          <w:rFonts w:ascii="Times New Roman" w:eastAsia="Times New Roman" w:hAnsi="Times New Roman" w:cs="Times New Roman"/>
          <w:sz w:val="24"/>
          <w:szCs w:val="24"/>
          <w:lang w:eastAsia="ru-RU"/>
        </w:rPr>
        <w:lastRenderedPageBreak/>
        <w:t>рамках «Плана (программы) снижения потерь электрической энергии в электрических сетях Курчалоевских РЭС АО «Чеченэнерго». Объект завершен в 2024 году и введен в основные фонды в объеме 122,43 млн руб. без НДС, 95,05 км линий электропередачи и 4,96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и реконструкция сети 10-0,4 кВ (ВЛ 0,4 кВ протяженностью 92,935 км, ВЛ-10 кВ протяженностью 4,48 км, ТП 6(10)/0,4 кВ общей мощностью 4,259 МВА) в рамках «Плана (программы) снижения потерь электрической энергии в электрических сетях Ножай-Юртовских РЭС АО «Чеченэнерго». Объект завершен в 2024 году и введен в основные фонды в объеме 102,40 млн руб. без НДС, 87,86 км линий электропередачи и 4,13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Строительство и реконструкция сети 10-0,4 кВ (ВЛ 0,4 кВ протяженностью 109,716 км, ВЛ-10 кВ протяженностью 2,488 км, ТП 6(10)/0,4 кВ общей мощностью 7,1 МВА) в рамках «Плана (программы) снижения потерь электрической энергии в электрических сетях Урус-Мартановских РЭС АО «Чеченэнерго». Объект завершен в 2024 году и введен в основные фонды в объеме 125,87 млн руб. без НДС, 101,00 км линий электропередачи и 6,95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ПС 110 кВ ГРП-110 в рамках программы модернизации и повышения надежности электросетевого комплекса Чеченской Республики на 2020-2024 гг. Объект завершен в 2024 году (введено в основные фонды 80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ПС 35 кВ Беной в рамках программы модернизации и повышения надежности электросетевого комплекса Чеченской Республики на 2020-2024 гг. Объект завершен в 2024 году (введено в основные фонды 5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ПС 35 кВ Аэропорт с установкой Т-2 мощностью 4 МВА с утсройстами АРН для технологического присоединения к сетям АО «Чеченэнерго» Объект завершен в 2024 году (введено в основные фонды 4 МВА);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Реконструкция ПС 110 кВ Октябрьская с установкой силового трансформатора Т-2 мощностью 16 МВА с устройством АРН для технологического присоединения к сетям АО «Чеченэнерго». Объект завершен в 2024 году (введено в основные фонды 16 МВА).</w:t>
      </w:r>
    </w:p>
    <w:p w:rsidR="00A10DA8" w:rsidRDefault="00A10DA8">
      <w:pPr>
        <w:tabs>
          <w:tab w:val="left" w:pos="9356"/>
        </w:tabs>
        <w:spacing w:after="0" w:line="240" w:lineRule="auto"/>
        <w:jc w:val="center"/>
        <w:rPr>
          <w:rFonts w:ascii="Times New Roman" w:eastAsia="Times New Roman" w:hAnsi="Times New Roman" w:cs="Times New Roman"/>
          <w:b/>
          <w:sz w:val="24"/>
          <w:szCs w:val="24"/>
          <w:lang w:eastAsia="ru-RU"/>
        </w:rPr>
      </w:pPr>
    </w:p>
    <w:p w:rsidR="00A10DA8" w:rsidRDefault="00CA7E8A">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Структура финансирования капитальных вложений, млн руб. с НДС</w:t>
      </w:r>
    </w:p>
    <w:tbl>
      <w:tblPr>
        <w:tblW w:w="510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5"/>
        <w:gridCol w:w="1211"/>
        <w:gridCol w:w="1108"/>
        <w:gridCol w:w="1104"/>
      </w:tblGrid>
      <w:tr w:rsidR="00A10DA8">
        <w:trPr>
          <w:trHeight w:val="137"/>
        </w:trPr>
        <w:tc>
          <w:tcPr>
            <w:tcW w:w="3207" w:type="pct"/>
            <w:noWrap/>
            <w:vAlign w:val="center"/>
          </w:tcPr>
          <w:p w:rsidR="00A10DA8" w:rsidRDefault="00CA7E8A">
            <w:pPr>
              <w:tabs>
                <w:tab w:val="left" w:pos="9356"/>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Наименование</w:t>
            </w:r>
          </w:p>
        </w:tc>
        <w:tc>
          <w:tcPr>
            <w:tcW w:w="634" w:type="pct"/>
            <w:noWrap/>
            <w:vAlign w:val="center"/>
          </w:tcPr>
          <w:p w:rsidR="00A10DA8" w:rsidRDefault="00CA7E8A">
            <w:pPr>
              <w:tabs>
                <w:tab w:val="left" w:pos="9356"/>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2022 г.</w:t>
            </w:r>
          </w:p>
        </w:tc>
        <w:tc>
          <w:tcPr>
            <w:tcW w:w="580" w:type="pct"/>
            <w:vAlign w:val="center"/>
          </w:tcPr>
          <w:p w:rsidR="00A10DA8" w:rsidRDefault="00CA7E8A">
            <w:pPr>
              <w:tabs>
                <w:tab w:val="left" w:pos="9356"/>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2023 г.</w:t>
            </w:r>
          </w:p>
        </w:tc>
        <w:tc>
          <w:tcPr>
            <w:tcW w:w="578" w:type="pct"/>
            <w:vAlign w:val="center"/>
          </w:tcPr>
          <w:p w:rsidR="00A10DA8" w:rsidRDefault="00CA7E8A">
            <w:pPr>
              <w:tabs>
                <w:tab w:val="left" w:pos="9356"/>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2024 г.</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b/>
                <w:bCs/>
                <w:color w:val="000000"/>
                <w:sz w:val="20"/>
                <w:szCs w:val="20"/>
                <w:lang w:val="en-US" w:eastAsia="ru-RU"/>
              </w:rPr>
            </w:pPr>
            <w:r>
              <w:rPr>
                <w:rFonts w:ascii="Times New Roman" w:eastAsia="Times New Roman" w:hAnsi="Times New Roman" w:cs="Times New Roman"/>
                <w:b/>
                <w:bCs/>
                <w:color w:val="000000"/>
                <w:sz w:val="20"/>
                <w:szCs w:val="20"/>
                <w:lang w:eastAsia="ru-RU"/>
              </w:rPr>
              <w:t>Итого:</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2 455,99</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3 974,76</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4 638,55</w:t>
            </w:r>
          </w:p>
        </w:tc>
      </w:tr>
      <w:tr w:rsidR="00A10DA8">
        <w:trPr>
          <w:trHeight w:val="135"/>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Технологическое присоединение</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82,91</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488,82</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3 593,60</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Реконструкция, модернизация, техническое перевооружение</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273,67</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588,05</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895,95</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Инвестиционные проекты, реализация которых обуславливается схемами и программами перспективного развития электроэнергетики</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0</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Прочее новое строительство объектов электросетевого хозяйства</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539,60</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489,38</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71,95</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Покупка земельных участков для целей реализации инвестиционных проектов</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0</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w:t>
            </w:r>
          </w:p>
        </w:tc>
      </w:tr>
      <w:tr w:rsidR="00A10DA8">
        <w:trPr>
          <w:trHeight w:val="137"/>
        </w:trPr>
        <w:tc>
          <w:tcPr>
            <w:tcW w:w="3207" w:type="pct"/>
            <w:noWrap/>
            <w:vAlign w:val="bottom"/>
          </w:tcPr>
          <w:p w:rsidR="00A10DA8" w:rsidRDefault="00CA7E8A">
            <w:pPr>
              <w:tabs>
                <w:tab w:val="left" w:pos="9356"/>
              </w:tabs>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инвестиционные проекты</w:t>
            </w:r>
          </w:p>
        </w:tc>
        <w:tc>
          <w:tcPr>
            <w:tcW w:w="634" w:type="pct"/>
            <w:noWrap/>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hAnsi="Times New Roman" w:cs="Times New Roman"/>
                <w:bCs/>
                <w:sz w:val="20"/>
                <w:szCs w:val="20"/>
              </w:rPr>
              <w:t>1 559,82</w:t>
            </w:r>
          </w:p>
        </w:tc>
        <w:tc>
          <w:tcPr>
            <w:tcW w:w="580"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2 408,52</w:t>
            </w:r>
          </w:p>
        </w:tc>
        <w:tc>
          <w:tcPr>
            <w:tcW w:w="578" w:type="pct"/>
            <w:vAlign w:val="center"/>
          </w:tcPr>
          <w:p w:rsidR="00A10DA8" w:rsidRDefault="00CA7E8A">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77,05</w:t>
            </w:r>
          </w:p>
        </w:tc>
      </w:tr>
    </w:tbl>
    <w:p w:rsidR="00A10DA8" w:rsidRDefault="00A10DA8">
      <w:pPr>
        <w:tabs>
          <w:tab w:val="left" w:pos="9356"/>
        </w:tabs>
        <w:spacing w:after="0" w:line="240" w:lineRule="auto"/>
        <w:jc w:val="center"/>
        <w:rPr>
          <w:rFonts w:ascii="Times New Roman" w:eastAsia="Times New Roman" w:hAnsi="Times New Roman" w:cs="Times New Roman"/>
          <w:b/>
          <w:sz w:val="24"/>
          <w:szCs w:val="24"/>
          <w:lang w:eastAsia="ru-RU"/>
        </w:rPr>
      </w:pPr>
    </w:p>
    <w:p w:rsidR="00A10DA8" w:rsidRDefault="00CA7E8A">
      <w:pPr>
        <w:tabs>
          <w:tab w:val="left" w:pos="9356"/>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Структура финансирования АО «Чеченэнерго» за 2024 год, в %</w:t>
      </w:r>
    </w:p>
    <w:p w:rsidR="00A10DA8" w:rsidRDefault="00CA7E8A">
      <w:pPr>
        <w:tabs>
          <w:tab w:val="left" w:pos="9356"/>
        </w:tabs>
        <w:spacing w:after="0" w:line="240" w:lineRule="auto"/>
        <w:jc w:val="center"/>
        <w:rPr>
          <w:rFonts w:ascii="Times New Roman" w:eastAsia="Times New Roman" w:hAnsi="Times New Roman" w:cs="Times New Roman"/>
          <w:b/>
          <w:sz w:val="24"/>
          <w:szCs w:val="24"/>
          <w:lang w:eastAsia="ru-RU"/>
        </w:rPr>
      </w:pPr>
      <w:r>
        <w:rPr>
          <w:noProof/>
          <w:sz w:val="24"/>
          <w:lang w:eastAsia="ru-RU"/>
        </w:rPr>
        <w:lastRenderedPageBreak/>
        <w:drawing>
          <wp:inline distT="0" distB="0" distL="0" distR="0">
            <wp:extent cx="5454594" cy="2472856"/>
            <wp:effectExtent l="0" t="0" r="0" b="3810"/>
            <wp:docPr id="20"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10DA8" w:rsidRDefault="00A10DA8">
      <w:pPr>
        <w:tabs>
          <w:tab w:val="left" w:pos="9356"/>
        </w:tabs>
        <w:spacing w:after="0" w:line="240" w:lineRule="auto"/>
        <w:jc w:val="center"/>
        <w:rPr>
          <w:rFonts w:ascii="Times New Roman" w:eastAsia="Times New Roman" w:hAnsi="Times New Roman" w:cs="Times New Roman"/>
          <w:b/>
          <w:sz w:val="24"/>
          <w:szCs w:val="24"/>
          <w:lang w:eastAsia="ru-RU"/>
        </w:rPr>
      </w:pPr>
    </w:p>
    <w:p w:rsidR="00A10DA8" w:rsidRDefault="00CA7E8A">
      <w:pPr>
        <w:tabs>
          <w:tab w:val="left" w:pos="9356"/>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Структура финансирования капитальных вложений в 2024 году.</w:t>
      </w:r>
    </w:p>
    <w:p w:rsidR="00A10DA8" w:rsidRDefault="00CA7E8A">
      <w:pPr>
        <w:tabs>
          <w:tab w:val="left" w:pos="9356"/>
        </w:tabs>
        <w:spacing w:after="0" w:line="240" w:lineRule="auto"/>
        <w:rPr>
          <w:rFonts w:ascii="Times New Roman" w:eastAsia="Times New Roman" w:hAnsi="Times New Roman" w:cs="Times New Roman"/>
          <w:b/>
          <w:sz w:val="24"/>
          <w:szCs w:val="24"/>
          <w:lang w:eastAsia="ru-RU"/>
        </w:rPr>
      </w:pPr>
      <w:r>
        <w:rPr>
          <w:rFonts w:ascii="Times New Roman" w:hAnsi="Times New Roman" w:cs="Times New Roman"/>
          <w:b/>
          <w:noProof/>
          <w:sz w:val="28"/>
          <w:szCs w:val="28"/>
          <w:lang w:eastAsia="ru-RU"/>
        </w:rPr>
        <w:drawing>
          <wp:inline distT="0" distB="0" distL="0" distR="0">
            <wp:extent cx="2910178" cy="1948070"/>
            <wp:effectExtent l="0" t="0" r="5080" b="14604"/>
            <wp:docPr id="21"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rFonts w:ascii="Times New Roman" w:hAnsi="Times New Roman" w:cs="Times New Roman"/>
          <w:b/>
          <w:noProof/>
          <w:sz w:val="28"/>
          <w:szCs w:val="28"/>
          <w:lang w:eastAsia="ru-RU"/>
        </w:rPr>
        <w:drawing>
          <wp:inline distT="0" distB="0" distL="0" distR="0">
            <wp:extent cx="2822713" cy="1948069"/>
            <wp:effectExtent l="0" t="0" r="0" b="0"/>
            <wp:docPr id="2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cs="Times New Roman"/>
          <w:b/>
          <w:noProof/>
          <w:sz w:val="28"/>
          <w:szCs w:val="28"/>
          <w:lang w:eastAsia="ru-RU"/>
        </w:rPr>
        <w:drawing>
          <wp:inline distT="0" distB="0" distL="0" distR="0">
            <wp:extent cx="6086475" cy="838200"/>
            <wp:effectExtent l="0" t="0" r="9525" b="19050"/>
            <wp:docPr id="23"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10DA8" w:rsidRDefault="00CA7E8A">
      <w:pPr>
        <w:tabs>
          <w:tab w:val="left" w:pos="3110"/>
        </w:tabs>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ab/>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Объем финансирования АО «Чеченэнерго» 2024 года составил 4 638,55 млн руб. с НДС. Финансирование осуществлялось за счет:</w:t>
      </w:r>
    </w:p>
    <w:p w:rsidR="00A10DA8" w:rsidRDefault="00CA7E8A">
      <w:pPr>
        <w:numPr>
          <w:ilvl w:val="0"/>
          <w:numId w:val="9"/>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собственных средств в объеме 351,74 млн руб. с НДС;</w:t>
      </w:r>
    </w:p>
    <w:p w:rsidR="00A10DA8" w:rsidRDefault="00CA7E8A">
      <w:pPr>
        <w:numPr>
          <w:ilvl w:val="0"/>
          <w:numId w:val="9"/>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платы за технологическое присоединение в объеме 2 407,39 млн руб. с НДС;</w:t>
      </w:r>
    </w:p>
    <w:p w:rsidR="00A10DA8" w:rsidRDefault="00CA7E8A">
      <w:pPr>
        <w:numPr>
          <w:ilvl w:val="0"/>
          <w:numId w:val="9"/>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средств дополнительной финансовой поддержки ПАО «Россети» в объеме 1 879,42 млн руб. с НДС.</w:t>
      </w:r>
    </w:p>
    <w:p w:rsidR="00A10DA8" w:rsidRDefault="00A10DA8">
      <w:pPr>
        <w:tabs>
          <w:tab w:val="left" w:pos="1276"/>
        </w:tabs>
        <w:spacing w:after="0" w:line="240" w:lineRule="auto"/>
        <w:ind w:firstLine="709"/>
        <w:jc w:val="center"/>
        <w:rPr>
          <w:rFonts w:ascii="Times New Roman" w:eastAsia="Times New Roman" w:hAnsi="Times New Roman" w:cs="Times New Roman"/>
          <w:b/>
          <w:sz w:val="24"/>
          <w:szCs w:val="24"/>
          <w:lang w:eastAsia="ru-RU"/>
        </w:rPr>
      </w:pPr>
    </w:p>
    <w:p w:rsidR="00A10DA8" w:rsidRDefault="00CA7E8A">
      <w:pPr>
        <w:tabs>
          <w:tab w:val="left" w:pos="1276"/>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Результаты реализации инвестиционной программы 2024 года.</w:t>
      </w:r>
    </w:p>
    <w:p w:rsidR="00A10DA8" w:rsidRDefault="00A10DA8">
      <w:pPr>
        <w:tabs>
          <w:tab w:val="left" w:pos="1276"/>
        </w:tabs>
        <w:spacing w:after="0" w:line="240" w:lineRule="auto"/>
        <w:ind w:firstLine="709"/>
        <w:jc w:val="both"/>
        <w:rPr>
          <w:rFonts w:ascii="Times New Roman" w:eastAsia="Times New Roman" w:hAnsi="Times New Roman" w:cs="Times New Roman"/>
          <w:b/>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Информация о результатах, достигнутых в 2024 году за счет реализации мероприятий, включенных в инвестиционную программу, в соответствии с Приказом Минэнерго России от 14.03.2017 № 177:</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2024 году объекты, влияющие на 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 не реализовывались;</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объекты, влияющие на показатель оценки изменения средней продолжительности прекращения передачи электрической энергии потребителям услуг – 1 объект;</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объекты, влияющие на показатель оценки изменения средней частоты прекращения передачи электрической энергии потребителям услуг - 1 объект;</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 отчетный период в рамках инвестиционной программы исполнено 3 415 договоров по осуществлению технологического присоединения;</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максимальная мощность присоединяемых потребителей электрической энергии к сетям АО «Чеченэнерго» в 2024 году составила 77,34 МВт.</w:t>
      </w:r>
    </w:p>
    <w:p w:rsidR="00A10DA8" w:rsidRDefault="00A10DA8">
      <w:pPr>
        <w:spacing w:after="0" w:line="240" w:lineRule="auto"/>
        <w:ind w:firstLine="709"/>
        <w:jc w:val="both"/>
        <w:rPr>
          <w:rFonts w:ascii="Times New Roman" w:eastAsia="Times New Roman" w:hAnsi="Times New Roman" w:cs="Times New Roman"/>
          <w:sz w:val="24"/>
          <w:szCs w:val="24"/>
          <w:lang w:eastAsia="ru-RU"/>
        </w:rPr>
      </w:pPr>
    </w:p>
    <w:p w:rsidR="00A10DA8" w:rsidRDefault="00CA7E8A">
      <w:pPr>
        <w:tabs>
          <w:tab w:val="left" w:pos="1276"/>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Долгосрочная инвестиционная программа</w:t>
      </w:r>
    </w:p>
    <w:p w:rsidR="00A10DA8" w:rsidRDefault="00A10DA8">
      <w:pPr>
        <w:tabs>
          <w:tab w:val="left" w:pos="1276"/>
        </w:tabs>
        <w:spacing w:after="0" w:line="240" w:lineRule="auto"/>
        <w:ind w:firstLine="709"/>
        <w:jc w:val="both"/>
        <w:rPr>
          <w:rFonts w:ascii="Times New Roman" w:eastAsia="Times New Roman" w:hAnsi="Times New Roman" w:cs="Times New Roman"/>
          <w:b/>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Инвестиционная программа Общества на период 2025-2028 гг. утверждена приказом Минэнерго России от 12.12.2024 № 35@.</w:t>
      </w:r>
    </w:p>
    <w:p w:rsidR="00A10DA8" w:rsidRDefault="00A10DA8">
      <w:pPr>
        <w:spacing w:after="0" w:line="240" w:lineRule="auto"/>
        <w:ind w:firstLine="709"/>
        <w:jc w:val="both"/>
        <w:rPr>
          <w:rFonts w:ascii="Times New Roman" w:eastAsia="Times New Roman" w:hAnsi="Times New Roman" w:cs="Times New Roman"/>
          <w:sz w:val="24"/>
          <w:szCs w:val="24"/>
          <w:lang w:eastAsia="ru-RU"/>
        </w:rPr>
      </w:pPr>
    </w:p>
    <w:tbl>
      <w:tblPr>
        <w:tblW w:w="9072" w:type="dxa"/>
        <w:tblInd w:w="-5" w:type="dxa"/>
        <w:tblLook w:val="04A0" w:firstRow="1" w:lastRow="0" w:firstColumn="1" w:lastColumn="0" w:noHBand="0" w:noVBand="1"/>
      </w:tblPr>
      <w:tblGrid>
        <w:gridCol w:w="2469"/>
        <w:gridCol w:w="672"/>
        <w:gridCol w:w="1395"/>
        <w:gridCol w:w="1560"/>
        <w:gridCol w:w="1417"/>
        <w:gridCol w:w="1559"/>
      </w:tblGrid>
      <w:tr w:rsidR="00A10DA8">
        <w:trPr>
          <w:trHeight w:val="300"/>
        </w:trPr>
        <w:tc>
          <w:tcPr>
            <w:tcW w:w="24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5931" w:type="dxa"/>
            <w:gridSpan w:val="4"/>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Планируемые периоды </w:t>
            </w:r>
          </w:p>
        </w:tc>
      </w:tr>
      <w:tr w:rsidR="00A10DA8">
        <w:trPr>
          <w:trHeight w:val="300"/>
        </w:trPr>
        <w:tc>
          <w:tcPr>
            <w:tcW w:w="2469"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672"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b/>
                <w:bCs/>
                <w:color w:val="000000"/>
                <w:sz w:val="20"/>
                <w:szCs w:val="20"/>
                <w:lang w:eastAsia="ru-RU"/>
              </w:rPr>
            </w:pP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2025 г.</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2026 г.</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2027 г.</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2028 г.</w:t>
            </w:r>
          </w:p>
        </w:tc>
      </w:tr>
      <w:tr w:rsidR="00A10DA8">
        <w:trPr>
          <w:trHeight w:val="300"/>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r>
      <w:tr w:rsidR="00A10DA8">
        <w:trPr>
          <w:trHeight w:val="510"/>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Объем финансирования </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4 220,41</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1 594,45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226,47</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238,33</w:t>
            </w:r>
          </w:p>
        </w:tc>
      </w:tr>
      <w:tr w:rsidR="00A10DA8">
        <w:trPr>
          <w:trHeight w:val="765"/>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2 449,33</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1 416,23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160,67</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198,00</w:t>
            </w:r>
          </w:p>
        </w:tc>
      </w:tr>
      <w:tr w:rsidR="00A10DA8">
        <w:trPr>
          <w:trHeight w:val="510"/>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Ввод в состав основных средств </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млн руб.</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5 951,33</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4 762,08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161,17</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198,00</w:t>
            </w:r>
          </w:p>
        </w:tc>
      </w:tr>
      <w:tr w:rsidR="00A10DA8">
        <w:trPr>
          <w:trHeight w:val="1020"/>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Ввод в состав основных средств</w:t>
            </w:r>
          </w:p>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трансформаторной мощности, МВА</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МВА</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111,20</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56,30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r>
      <w:tr w:rsidR="00A10DA8">
        <w:trPr>
          <w:trHeight w:val="1020"/>
        </w:trPr>
        <w:tc>
          <w:tcPr>
            <w:tcW w:w="2469" w:type="dxa"/>
            <w:tcBorders>
              <w:top w:val="none" w:sz="4" w:space="0" w:color="000000"/>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672"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км</w:t>
            </w:r>
          </w:p>
        </w:tc>
        <w:tc>
          <w:tcPr>
            <w:tcW w:w="139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223,45</w:t>
            </w:r>
          </w:p>
        </w:tc>
        <w:tc>
          <w:tcPr>
            <w:tcW w:w="1560"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74,55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39,48</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55,74</w:t>
            </w:r>
          </w:p>
        </w:tc>
      </w:tr>
    </w:tbl>
    <w:p w:rsidR="00A10DA8" w:rsidRDefault="00A10DA8">
      <w:pPr>
        <w:tabs>
          <w:tab w:val="left" w:pos="1276"/>
        </w:tabs>
        <w:spacing w:after="0" w:line="240" w:lineRule="auto"/>
        <w:ind w:firstLine="709"/>
        <w:jc w:val="center"/>
        <w:rPr>
          <w:rFonts w:ascii="Times New Roman" w:eastAsia="Times New Roman" w:hAnsi="Times New Roman" w:cs="Times New Roman"/>
          <w:b/>
          <w:sz w:val="24"/>
          <w:szCs w:val="24"/>
          <w:lang w:eastAsia="ru-RU"/>
        </w:rPr>
      </w:pPr>
    </w:p>
    <w:p w:rsidR="00A10DA8" w:rsidRDefault="00CA7E8A">
      <w:pPr>
        <w:tabs>
          <w:tab w:val="left" w:pos="1276"/>
        </w:tabs>
        <w:spacing w:after="0" w:line="240" w:lineRule="auto"/>
        <w:ind w:firstLine="709"/>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Объемы финансирования инвестиционной программы в 2025-2028 гг., </w:t>
      </w:r>
      <w:r>
        <w:rPr>
          <w:rFonts w:ascii="Times New Roman" w:eastAsia="Times New Roman" w:hAnsi="Times New Roman" w:cs="Times New Roman"/>
          <w:b/>
          <w:sz w:val="24"/>
          <w:szCs w:val="24"/>
          <w:lang w:eastAsia="ru-RU"/>
        </w:rPr>
        <w:br/>
        <w:t>млн руб. с НДС.</w:t>
      </w:r>
    </w:p>
    <w:p w:rsidR="00A10DA8" w:rsidRDefault="00CA7E8A">
      <w:pPr>
        <w:tabs>
          <w:tab w:val="left" w:pos="1276"/>
        </w:tabs>
        <w:spacing w:after="0" w:line="240" w:lineRule="auto"/>
        <w:jc w:val="both"/>
        <w:rPr>
          <w:rFonts w:ascii="Times New Roman" w:eastAsia="Times New Roman" w:hAnsi="Times New Roman" w:cs="Times New Roman"/>
          <w:sz w:val="24"/>
          <w:szCs w:val="24"/>
          <w:lang w:eastAsia="ru-RU"/>
        </w:rPr>
      </w:pPr>
      <w:r>
        <w:rPr>
          <w:rFonts w:ascii="Arial" w:eastAsia="Times New Roman" w:hAnsi="Arial" w:cs="Arial"/>
          <w:noProof/>
          <w:sz w:val="24"/>
          <w:szCs w:val="20"/>
          <w:lang w:eastAsia="ru-RU"/>
        </w:rPr>
        <w:drawing>
          <wp:inline distT="0" distB="0" distL="0" distR="0">
            <wp:extent cx="5939790" cy="1323975"/>
            <wp:effectExtent l="0" t="0" r="3810" b="0"/>
            <wp:docPr id="24"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10DA8" w:rsidRDefault="00A10DA8">
      <w:pPr>
        <w:widowControl w:val="0"/>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widowControl w:val="0"/>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Долгосрочная инвестиционная программа Общества разработана в соответствии с планом развития территории, техническим состоянием электрических сетей, с учётом значимости объектов электроснабжения, прогнозов по выручке от передачи электроэнергии и поступлений по договорам на технологическое присоединение.</w:t>
      </w:r>
    </w:p>
    <w:p w:rsidR="00A10DA8" w:rsidRDefault="00CA7E8A">
      <w:pPr>
        <w:pStyle w:val="afffffe"/>
        <w:rPr>
          <w:sz w:val="24"/>
        </w:rPr>
      </w:pPr>
      <w:r>
        <w:rPr>
          <w:sz w:val="24"/>
        </w:rPr>
        <w:t>Согласно утвержденной инвестиционной программе в 2025 году предусмотрено финансирование за счет выделения средств финансовой поддержки со стороны ПАО «Россети», в том числе по приоритетным проектам, средств федерального бюджета, а также за счет платы за технологическое присоединение к сетям АО «Чеченэнерго» в объеме 4220,41 млн. руб. с НДС. С 2026 года происходит снижение финансирования в связи с завершением реализации Плана (программы) снижения потерь электрической энергии в электрических сетях АО «Чеченэнерго».</w:t>
      </w:r>
    </w:p>
    <w:p w:rsidR="00A10DA8" w:rsidRDefault="00A10DA8">
      <w:pPr>
        <w:widowControl w:val="0"/>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spacing w:after="0" w:line="240" w:lineRule="auto"/>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Объем планируемых капитальных вложений и вводов в основные фонды в соответствии с инвестиционной программой за 2025-2028 гг., млн руб. без НДС</w:t>
      </w:r>
    </w:p>
    <w:p w:rsidR="00A10DA8" w:rsidRDefault="00CA7E8A">
      <w:pPr>
        <w:widowControl w:val="0"/>
        <w:tabs>
          <w:tab w:val="left" w:pos="1134"/>
        </w:tabs>
        <w:spacing w:after="0" w:line="240" w:lineRule="auto"/>
        <w:ind w:firstLine="709"/>
        <w:jc w:val="both"/>
        <w:rPr>
          <w:rFonts w:ascii="Times New Roman" w:eastAsia="Calibri"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5480685" cy="1906437"/>
            <wp:effectExtent l="0" t="0" r="5715" b="0"/>
            <wp:docPr id="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10DA8" w:rsidRDefault="00CA7E8A">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2025 году освоение капитальных вложений и ввод в основные фонды запланированы в объеме 2 449,33 млн. руб. без НДС и 5 951,33 млн. руб. без НДС соответственно. В числе значимых проектов, запланированных к реализации в 2025 году, модернизация средств учета электроэнергии, а также строительство и реконструкция сети 10-0,4 кВ в рамках Плана (программы) снижения потерь электрической энергии в электрических сетях АО «Чеченэнерго».</w:t>
      </w:r>
    </w:p>
    <w:p w:rsidR="00A10DA8" w:rsidRDefault="00CA7E8A">
      <w:pPr>
        <w:spacing w:after="0" w:line="240" w:lineRule="auto"/>
        <w:ind w:firstLine="708"/>
        <w:jc w:val="both"/>
        <w:rPr>
          <w:lang w:eastAsia="ru-RU"/>
        </w:rPr>
      </w:pPr>
      <w:r>
        <w:rPr>
          <w:rFonts w:ascii="Times New Roman" w:eastAsia="Times New Roman" w:hAnsi="Times New Roman" w:cs="Times New Roman"/>
          <w:sz w:val="24"/>
          <w:szCs w:val="24"/>
          <w:lang w:eastAsia="ru-RU"/>
        </w:rPr>
        <w:t xml:space="preserve">С 2026 по 2028 гг. происходит снижение объемов освоения капитальных вложений и ввода в основные фонды в связи с окончанием реализации Плана (программы) снижения потерь электрической энергии в электрических сетях АО «Чеченэнерго». </w:t>
      </w:r>
    </w:p>
    <w:p w:rsidR="00A10DA8" w:rsidRDefault="00A10DA8">
      <w:pPr>
        <w:spacing w:after="0" w:line="240" w:lineRule="auto"/>
        <w:rPr>
          <w:lang w:eastAsia="ru-RU"/>
        </w:rPr>
      </w:pPr>
    </w:p>
    <w:p w:rsidR="00A10DA8" w:rsidRDefault="00CA7E8A">
      <w:pPr>
        <w:spacing w:after="0" w:line="240" w:lineRule="auto"/>
        <w:jc w:val="center"/>
        <w:rPr>
          <w:rFonts w:ascii="Times New Roman" w:hAnsi="Times New Roman" w:cs="Times New Roman"/>
          <w:b/>
          <w:sz w:val="24"/>
          <w:szCs w:val="28"/>
        </w:rPr>
      </w:pPr>
      <w:r>
        <w:rPr>
          <w:rFonts w:ascii="Times New Roman" w:hAnsi="Times New Roman" w:cs="Times New Roman"/>
          <w:b/>
          <w:sz w:val="24"/>
          <w:szCs w:val="28"/>
        </w:rPr>
        <w:t>Динамика ввода мощности, МВА и км</w:t>
      </w:r>
    </w:p>
    <w:p w:rsidR="00A10DA8" w:rsidRDefault="00CA7E8A">
      <w:pPr>
        <w:rPr>
          <w:lang w:eastAsia="ru-RU"/>
        </w:rPr>
      </w:pPr>
      <w:r>
        <w:rPr>
          <w:noProof/>
          <w:lang w:eastAsia="ru-RU"/>
        </w:rPr>
        <w:drawing>
          <wp:inline distT="0" distB="0" distL="0" distR="0">
            <wp:extent cx="5486400" cy="1871932"/>
            <wp:effectExtent l="0" t="0" r="0" b="0"/>
            <wp:docPr id="2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10DA8" w:rsidRDefault="00A10DA8">
      <w:pPr>
        <w:tabs>
          <w:tab w:val="left" w:pos="1276"/>
        </w:tabs>
        <w:spacing w:after="0" w:line="240" w:lineRule="auto"/>
        <w:ind w:firstLine="709"/>
        <w:jc w:val="both"/>
        <w:rPr>
          <w:rFonts w:ascii="Times New Roman" w:eastAsia="Times New Roman" w:hAnsi="Times New Roman" w:cs="Times New Roman"/>
          <w:b/>
          <w:sz w:val="24"/>
          <w:szCs w:val="24"/>
          <w:lang w:eastAsia="ru-RU"/>
        </w:rPr>
      </w:pPr>
    </w:p>
    <w:p w:rsidR="00A10DA8" w:rsidRDefault="00CA7E8A">
      <w:pPr>
        <w:pStyle w:val="1"/>
        <w:ind w:firstLine="709"/>
      </w:pPr>
      <w:bookmarkStart w:id="24" w:name="_Toc195780421"/>
      <w:r>
        <w:t>Управление активами</w:t>
      </w:r>
      <w:bookmarkEnd w:id="24"/>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Во исполнение Указа Президента Российской Федерации от 07.05.2012 № 596 и распоряжения Правительства Российской Федерации от 10.05.2017 № 894-р (в редакции распоряжения Правительства Российской Федерации от 19.04.2023 № 985-р) решением Совета директоров Общества 25.10.2023 (протокол от 25.10.2023 № 315) утверждена новая редакция Программы отчуждения непрофильных активов Общества (далее – Программа). </w:t>
      </w: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Программа отражает принципы и механизм выявления и отчуждения непрофильных активов Общества, а также устанавливает критерии отнесения активов Общества к непрофильным активам, порядок формирования и утверждения реестра непрофильных активов и плана мероприятий по отчуждению непрофильных активов.</w:t>
      </w: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Ссылка на раскрытие информации: </w:t>
      </w:r>
      <w:hyperlink r:id="rId29" w:tooltip="http://chechenergo.ru/index.php/aktsioneram-i-investoram/ob-yavleniya" w:history="1">
        <w:r>
          <w:rPr>
            <w:rStyle w:val="afb"/>
            <w:rFonts w:ascii="Times New Roman" w:eastAsia="Times New Roman" w:hAnsi="Times New Roman" w:cs="Times New Roman"/>
            <w:sz w:val="24"/>
            <w:szCs w:val="24"/>
            <w:lang w:eastAsia="ru-RU"/>
          </w:rPr>
          <w:t>http://chechenergo.ru/index.php/aktsioneram-i-investoram/ob-yavleniya</w:t>
        </w:r>
      </w:hyperlink>
      <w:r>
        <w:rPr>
          <w:rFonts w:ascii="Times New Roman" w:eastAsia="Times New Roman" w:hAnsi="Times New Roman" w:cs="Times New Roman"/>
          <w:sz w:val="24"/>
          <w:szCs w:val="24"/>
          <w:lang w:eastAsia="ru-RU"/>
        </w:rPr>
        <w:t>.</w:t>
      </w:r>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pStyle w:val="1"/>
        <w:ind w:firstLine="709"/>
      </w:pPr>
      <w:bookmarkStart w:id="25" w:name="_Toc195780422"/>
      <w:r>
        <w:lastRenderedPageBreak/>
        <w:t>Информация о реализации непрофильных активов в 2024 году</w:t>
      </w:r>
      <w:bookmarkEnd w:id="25"/>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2024 году непрофильные активы в Обществе не выявлены, в связи с чем Реестр непрофильных активов не утверждался, отчуждение непрофильных активов не проводилось.</w:t>
      </w:r>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pStyle w:val="1"/>
        <w:ind w:firstLine="709"/>
      </w:pPr>
      <w:bookmarkStart w:id="26" w:name="_Toc195780423"/>
      <w:r>
        <w:t>Консолидация электросетевых активов</w:t>
      </w:r>
      <w:bookmarkEnd w:id="26"/>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Работа по консолидации электросетевых активов на территории Чеченской Республики выполняется управляющим директором Общества, сотрудниками отдела управления собственностью, а также сотрудниками компании, исполняющей функции единоличного исполнительного органа АО «Чеченэнерго» – ПАО «Россети Северный Кавказ».</w:t>
      </w: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этом принятие управленческих решений по вопросам консолидации электросетевых активов осуществляется – комиссией ПАО «Россети Северный Кавказ» по консолидации электросетевых активов на основании предоставляемого проекта сделки. Сотрудниками отдела управления собственностью АО «Чеченэнерго» совместно с техническими службами АО «Чеченэнерго» и иными структурными подразделениями реализуются мероприятия по подготовке проекта сделки (инвентаризация электросетевого имущества, сбор технико-экономических показателей и т.д.).</w:t>
      </w:r>
    </w:p>
    <w:p w:rsidR="00A10DA8" w:rsidRDefault="00CA7E8A">
      <w:pPr>
        <w:tabs>
          <w:tab w:val="left" w:pos="1276"/>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Программа консолидации электросетевых активов АО «Чеченэнерго» не утверждалась.</w:t>
      </w:r>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Мониторинг объемов консолидации электросетевых активов</w:t>
      </w:r>
    </w:p>
    <w:p w:rsidR="00A10DA8" w:rsidRDefault="00A10DA8">
      <w:pPr>
        <w:spacing w:after="0" w:line="240" w:lineRule="auto"/>
        <w:jc w:val="center"/>
        <w:rPr>
          <w:rFonts w:ascii="Times New Roman" w:hAnsi="Times New Roman" w:cs="Times New Roman"/>
          <w:b/>
          <w:sz w:val="24"/>
          <w:szCs w:val="24"/>
        </w:rPr>
      </w:pP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Электросетевые активы, находящиеся в аренде </w:t>
      </w: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по состоянию на конец отчетного периода</w:t>
      </w:r>
    </w:p>
    <w:tbl>
      <w:tblPr>
        <w:tblW w:w="5078" w:type="pct"/>
        <w:tblLayout w:type="fixed"/>
        <w:tblLook w:val="04A0" w:firstRow="1" w:lastRow="0" w:firstColumn="1" w:lastColumn="0" w:noHBand="0" w:noVBand="1"/>
      </w:tblPr>
      <w:tblGrid>
        <w:gridCol w:w="1811"/>
        <w:gridCol w:w="837"/>
        <w:gridCol w:w="837"/>
        <w:gridCol w:w="843"/>
        <w:gridCol w:w="835"/>
        <w:gridCol w:w="841"/>
        <w:gridCol w:w="843"/>
        <w:gridCol w:w="831"/>
        <w:gridCol w:w="943"/>
        <w:gridCol w:w="869"/>
      </w:tblGrid>
      <w:tr w:rsidR="00A10DA8">
        <w:trPr>
          <w:trHeight w:val="501"/>
        </w:trPr>
        <w:tc>
          <w:tcPr>
            <w:tcW w:w="954"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rsidR="00A10DA8" w:rsidRDefault="00CA7E8A">
            <w:pPr>
              <w:tabs>
                <w:tab w:val="left" w:pos="993"/>
              </w:tabs>
              <w:spacing w:after="0" w:line="240" w:lineRule="auto"/>
              <w:ind w:firstLine="27"/>
              <w:jc w:val="center"/>
              <w:rPr>
                <w:rFonts w:ascii="Times New Roman" w:hAnsi="Times New Roman" w:cs="Times New Roman"/>
                <w:b/>
                <w:bCs/>
                <w:sz w:val="16"/>
                <w:szCs w:val="24"/>
              </w:rPr>
            </w:pPr>
            <w:r>
              <w:rPr>
                <w:rFonts w:ascii="Times New Roman" w:hAnsi="Times New Roman" w:cs="Times New Roman"/>
                <w:b/>
                <w:bCs/>
                <w:sz w:val="16"/>
                <w:szCs w:val="24"/>
              </w:rPr>
              <w:t>АО «Чеченэнерго»</w:t>
            </w:r>
          </w:p>
        </w:tc>
        <w:tc>
          <w:tcPr>
            <w:tcW w:w="1326"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 xml:space="preserve">Фактический объем </w:t>
            </w:r>
          </w:p>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на конец 2022 г.</w:t>
            </w:r>
          </w:p>
        </w:tc>
        <w:tc>
          <w:tcPr>
            <w:tcW w:w="1327"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 xml:space="preserve">Фактический объем </w:t>
            </w:r>
          </w:p>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на конец 2023 г.</w:t>
            </w:r>
          </w:p>
        </w:tc>
        <w:tc>
          <w:tcPr>
            <w:tcW w:w="1393"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 xml:space="preserve">Фактический объем </w:t>
            </w:r>
          </w:p>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на конец 2024 г.</w:t>
            </w:r>
          </w:p>
        </w:tc>
      </w:tr>
      <w:tr w:rsidR="00A10DA8">
        <w:trPr>
          <w:trHeight w:val="64"/>
        </w:trPr>
        <w:tc>
          <w:tcPr>
            <w:tcW w:w="954"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rsidR="00A10DA8" w:rsidRDefault="00A10DA8">
            <w:pPr>
              <w:tabs>
                <w:tab w:val="left" w:pos="993"/>
              </w:tabs>
              <w:spacing w:after="0" w:line="240" w:lineRule="auto"/>
              <w:ind w:firstLine="709"/>
              <w:jc w:val="both"/>
              <w:rPr>
                <w:rFonts w:ascii="Times New Roman" w:hAnsi="Times New Roman" w:cs="Times New Roman"/>
                <w:b/>
                <w:bCs/>
                <w:sz w:val="16"/>
                <w:szCs w:val="24"/>
              </w:rPr>
            </w:pPr>
          </w:p>
        </w:tc>
        <w:tc>
          <w:tcPr>
            <w:tcW w:w="441"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МВА</w:t>
            </w:r>
          </w:p>
        </w:tc>
        <w:tc>
          <w:tcPr>
            <w:tcW w:w="441"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Км</w:t>
            </w:r>
          </w:p>
        </w:tc>
        <w:tc>
          <w:tcPr>
            <w:tcW w:w="444"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У.е.</w:t>
            </w:r>
          </w:p>
        </w:tc>
        <w:tc>
          <w:tcPr>
            <w:tcW w:w="440"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МВА</w:t>
            </w:r>
          </w:p>
        </w:tc>
        <w:tc>
          <w:tcPr>
            <w:tcW w:w="443"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Км</w:t>
            </w:r>
          </w:p>
        </w:tc>
        <w:tc>
          <w:tcPr>
            <w:tcW w:w="444"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У.е.</w:t>
            </w:r>
          </w:p>
        </w:tc>
        <w:tc>
          <w:tcPr>
            <w:tcW w:w="438"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МВА</w:t>
            </w:r>
          </w:p>
        </w:tc>
        <w:tc>
          <w:tcPr>
            <w:tcW w:w="497"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Км</w:t>
            </w:r>
          </w:p>
        </w:tc>
        <w:tc>
          <w:tcPr>
            <w:tcW w:w="458"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У.е.</w:t>
            </w:r>
          </w:p>
        </w:tc>
      </w:tr>
      <w:tr w:rsidR="00A10DA8">
        <w:trPr>
          <w:trHeight w:val="255"/>
        </w:trPr>
        <w:tc>
          <w:tcPr>
            <w:tcW w:w="954" w:type="pct"/>
            <w:tcBorders>
              <w:top w:val="none" w:sz="4" w:space="0" w:color="000000"/>
              <w:left w:val="single" w:sz="4" w:space="0" w:color="auto"/>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1</w:t>
            </w:r>
          </w:p>
        </w:tc>
        <w:tc>
          <w:tcPr>
            <w:tcW w:w="441"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2</w:t>
            </w:r>
          </w:p>
        </w:tc>
        <w:tc>
          <w:tcPr>
            <w:tcW w:w="441"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3</w:t>
            </w:r>
          </w:p>
        </w:tc>
        <w:tc>
          <w:tcPr>
            <w:tcW w:w="444"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4</w:t>
            </w:r>
          </w:p>
        </w:tc>
        <w:tc>
          <w:tcPr>
            <w:tcW w:w="440"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5</w:t>
            </w:r>
          </w:p>
        </w:tc>
        <w:tc>
          <w:tcPr>
            <w:tcW w:w="443"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6</w:t>
            </w:r>
          </w:p>
        </w:tc>
        <w:tc>
          <w:tcPr>
            <w:tcW w:w="444"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7</w:t>
            </w:r>
          </w:p>
        </w:tc>
        <w:tc>
          <w:tcPr>
            <w:tcW w:w="438"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8</w:t>
            </w:r>
          </w:p>
        </w:tc>
        <w:tc>
          <w:tcPr>
            <w:tcW w:w="497"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9</w:t>
            </w:r>
          </w:p>
        </w:tc>
        <w:tc>
          <w:tcPr>
            <w:tcW w:w="458"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24"/>
              </w:rPr>
            </w:pPr>
            <w:r>
              <w:rPr>
                <w:rFonts w:ascii="Times New Roman" w:hAnsi="Times New Roman" w:cs="Times New Roman"/>
                <w:b/>
                <w:bCs/>
                <w:sz w:val="16"/>
                <w:szCs w:val="24"/>
              </w:rPr>
              <w:t>10</w:t>
            </w:r>
          </w:p>
        </w:tc>
      </w:tr>
      <w:tr w:rsidR="00A10DA8">
        <w:trPr>
          <w:trHeight w:val="791"/>
        </w:trPr>
        <w:tc>
          <w:tcPr>
            <w:tcW w:w="954" w:type="pct"/>
            <w:tcBorders>
              <w:top w:val="none" w:sz="4" w:space="0" w:color="000000"/>
              <w:left w:val="single" w:sz="4" w:space="0" w:color="auto"/>
              <w:bottom w:val="single" w:sz="4" w:space="0" w:color="auto"/>
              <w:right w:val="single" w:sz="4" w:space="0" w:color="auto"/>
            </w:tcBorders>
            <w:vAlign w:val="center"/>
          </w:tcPr>
          <w:p w:rsidR="00A10DA8" w:rsidRDefault="00CA7E8A">
            <w:pPr>
              <w:tabs>
                <w:tab w:val="left" w:pos="993"/>
              </w:tabs>
              <w:spacing w:after="0" w:line="240" w:lineRule="auto"/>
              <w:rPr>
                <w:rFonts w:ascii="Times New Roman" w:hAnsi="Times New Roman" w:cs="Times New Roman"/>
                <w:sz w:val="16"/>
                <w:szCs w:val="24"/>
              </w:rPr>
            </w:pPr>
            <w:r>
              <w:rPr>
                <w:rFonts w:ascii="Times New Roman" w:hAnsi="Times New Roman" w:cs="Times New Roman"/>
                <w:sz w:val="16"/>
                <w:szCs w:val="24"/>
              </w:rPr>
              <w:t>Аренда электросетевых объектов</w:t>
            </w:r>
          </w:p>
        </w:tc>
        <w:tc>
          <w:tcPr>
            <w:tcW w:w="441"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219,60</w:t>
            </w:r>
          </w:p>
        </w:tc>
        <w:tc>
          <w:tcPr>
            <w:tcW w:w="441"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rPr>
                <w:rFonts w:ascii="Times New Roman" w:hAnsi="Times New Roman" w:cs="Times New Roman"/>
                <w:sz w:val="16"/>
                <w:szCs w:val="24"/>
              </w:rPr>
            </w:pPr>
            <w:r>
              <w:rPr>
                <w:rFonts w:ascii="Times New Roman" w:hAnsi="Times New Roman" w:cs="Times New Roman"/>
                <w:sz w:val="16"/>
                <w:szCs w:val="24"/>
              </w:rPr>
              <w:t>1 097,10</w:t>
            </w:r>
          </w:p>
        </w:tc>
        <w:tc>
          <w:tcPr>
            <w:tcW w:w="444"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3 937,97</w:t>
            </w:r>
          </w:p>
        </w:tc>
        <w:tc>
          <w:tcPr>
            <w:tcW w:w="440"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259,60</w:t>
            </w:r>
          </w:p>
        </w:tc>
        <w:tc>
          <w:tcPr>
            <w:tcW w:w="443"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1 097,10</w:t>
            </w:r>
          </w:p>
        </w:tc>
        <w:tc>
          <w:tcPr>
            <w:tcW w:w="444"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3 945,77</w:t>
            </w:r>
          </w:p>
        </w:tc>
        <w:tc>
          <w:tcPr>
            <w:tcW w:w="438"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259,60</w:t>
            </w:r>
          </w:p>
        </w:tc>
        <w:tc>
          <w:tcPr>
            <w:tcW w:w="497"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1 097,10</w:t>
            </w:r>
          </w:p>
        </w:tc>
        <w:tc>
          <w:tcPr>
            <w:tcW w:w="458"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24"/>
              </w:rPr>
            </w:pPr>
            <w:r>
              <w:rPr>
                <w:rFonts w:ascii="Times New Roman" w:hAnsi="Times New Roman" w:cs="Times New Roman"/>
                <w:sz w:val="16"/>
                <w:szCs w:val="24"/>
              </w:rPr>
              <w:t>3 945,77</w:t>
            </w:r>
          </w:p>
        </w:tc>
      </w:tr>
    </w:tbl>
    <w:p w:rsidR="00A10DA8" w:rsidRDefault="00A10DA8">
      <w:pPr>
        <w:tabs>
          <w:tab w:val="left" w:pos="993"/>
        </w:tabs>
        <w:spacing w:after="0" w:line="240" w:lineRule="auto"/>
        <w:jc w:val="both"/>
        <w:rPr>
          <w:rFonts w:ascii="Times New Roman" w:hAnsi="Times New Roman" w:cs="Times New Roman"/>
          <w:sz w:val="24"/>
          <w:szCs w:val="24"/>
        </w:rPr>
      </w:pPr>
    </w:p>
    <w:p w:rsidR="00A10DA8" w:rsidRDefault="00CA7E8A">
      <w:pPr>
        <w:tabs>
          <w:tab w:val="left" w:pos="993"/>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Выявленные бесхозяйные электросетевые активы, на которые признано право собственности в судебном порядке в отчетном периоде</w:t>
      </w:r>
    </w:p>
    <w:tbl>
      <w:tblPr>
        <w:tblW w:w="5078" w:type="pct"/>
        <w:tblLayout w:type="fixed"/>
        <w:tblLook w:val="04A0" w:firstRow="1" w:lastRow="0" w:firstColumn="1" w:lastColumn="0" w:noHBand="0" w:noVBand="1"/>
      </w:tblPr>
      <w:tblGrid>
        <w:gridCol w:w="1811"/>
        <w:gridCol w:w="837"/>
        <w:gridCol w:w="837"/>
        <w:gridCol w:w="843"/>
        <w:gridCol w:w="835"/>
        <w:gridCol w:w="841"/>
        <w:gridCol w:w="843"/>
        <w:gridCol w:w="831"/>
        <w:gridCol w:w="943"/>
        <w:gridCol w:w="869"/>
      </w:tblGrid>
      <w:tr w:rsidR="00A10DA8">
        <w:trPr>
          <w:trHeight w:val="487"/>
        </w:trPr>
        <w:tc>
          <w:tcPr>
            <w:tcW w:w="954"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rsidR="00A10DA8" w:rsidRDefault="00CA7E8A">
            <w:pPr>
              <w:tabs>
                <w:tab w:val="left" w:pos="993"/>
              </w:tabs>
              <w:spacing w:after="0" w:line="240" w:lineRule="auto"/>
              <w:ind w:firstLine="27"/>
              <w:jc w:val="center"/>
              <w:rPr>
                <w:rFonts w:ascii="Times New Roman" w:hAnsi="Times New Roman" w:cs="Times New Roman"/>
                <w:b/>
                <w:bCs/>
                <w:sz w:val="16"/>
                <w:szCs w:val="16"/>
              </w:rPr>
            </w:pPr>
            <w:r>
              <w:rPr>
                <w:rFonts w:ascii="Times New Roman" w:hAnsi="Times New Roman" w:cs="Times New Roman"/>
                <w:b/>
                <w:bCs/>
                <w:sz w:val="16"/>
                <w:szCs w:val="16"/>
              </w:rPr>
              <w:t>АО «Чеченэнерго»</w:t>
            </w:r>
          </w:p>
        </w:tc>
        <w:tc>
          <w:tcPr>
            <w:tcW w:w="1326"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за 2022 г.</w:t>
            </w:r>
          </w:p>
        </w:tc>
        <w:tc>
          <w:tcPr>
            <w:tcW w:w="1327"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за 2023 г.</w:t>
            </w:r>
          </w:p>
        </w:tc>
        <w:tc>
          <w:tcPr>
            <w:tcW w:w="1393" w:type="pct"/>
            <w:gridSpan w:val="3"/>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за 2024 г.</w:t>
            </w:r>
          </w:p>
        </w:tc>
      </w:tr>
      <w:tr w:rsidR="00A10DA8">
        <w:trPr>
          <w:trHeight w:val="64"/>
        </w:trPr>
        <w:tc>
          <w:tcPr>
            <w:tcW w:w="954"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rsidR="00A10DA8" w:rsidRDefault="00A10DA8">
            <w:pPr>
              <w:tabs>
                <w:tab w:val="left" w:pos="993"/>
              </w:tabs>
              <w:spacing w:after="0" w:line="240" w:lineRule="auto"/>
              <w:ind w:firstLine="709"/>
              <w:jc w:val="both"/>
              <w:rPr>
                <w:rFonts w:ascii="Times New Roman" w:hAnsi="Times New Roman" w:cs="Times New Roman"/>
                <w:b/>
                <w:bCs/>
                <w:sz w:val="16"/>
                <w:szCs w:val="16"/>
              </w:rPr>
            </w:pPr>
          </w:p>
        </w:tc>
        <w:tc>
          <w:tcPr>
            <w:tcW w:w="441"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МВА</w:t>
            </w:r>
          </w:p>
        </w:tc>
        <w:tc>
          <w:tcPr>
            <w:tcW w:w="441"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Км</w:t>
            </w:r>
          </w:p>
        </w:tc>
        <w:tc>
          <w:tcPr>
            <w:tcW w:w="444"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У.е.</w:t>
            </w:r>
          </w:p>
        </w:tc>
        <w:tc>
          <w:tcPr>
            <w:tcW w:w="440"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МВА</w:t>
            </w:r>
          </w:p>
        </w:tc>
        <w:tc>
          <w:tcPr>
            <w:tcW w:w="443"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Км</w:t>
            </w:r>
          </w:p>
        </w:tc>
        <w:tc>
          <w:tcPr>
            <w:tcW w:w="444"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У.е.</w:t>
            </w:r>
          </w:p>
        </w:tc>
        <w:tc>
          <w:tcPr>
            <w:tcW w:w="438"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МВА</w:t>
            </w:r>
          </w:p>
        </w:tc>
        <w:tc>
          <w:tcPr>
            <w:tcW w:w="497"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Км</w:t>
            </w:r>
          </w:p>
        </w:tc>
        <w:tc>
          <w:tcPr>
            <w:tcW w:w="458" w:type="pct"/>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У.е.</w:t>
            </w:r>
          </w:p>
        </w:tc>
      </w:tr>
      <w:tr w:rsidR="00A10DA8">
        <w:trPr>
          <w:trHeight w:val="255"/>
        </w:trPr>
        <w:tc>
          <w:tcPr>
            <w:tcW w:w="954" w:type="pct"/>
            <w:tcBorders>
              <w:top w:val="none" w:sz="4" w:space="0" w:color="000000"/>
              <w:left w:val="single" w:sz="4" w:space="0" w:color="auto"/>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1</w:t>
            </w:r>
          </w:p>
        </w:tc>
        <w:tc>
          <w:tcPr>
            <w:tcW w:w="441"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2</w:t>
            </w:r>
          </w:p>
        </w:tc>
        <w:tc>
          <w:tcPr>
            <w:tcW w:w="441"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3</w:t>
            </w:r>
          </w:p>
        </w:tc>
        <w:tc>
          <w:tcPr>
            <w:tcW w:w="444"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4</w:t>
            </w:r>
          </w:p>
        </w:tc>
        <w:tc>
          <w:tcPr>
            <w:tcW w:w="440"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5</w:t>
            </w:r>
          </w:p>
        </w:tc>
        <w:tc>
          <w:tcPr>
            <w:tcW w:w="443"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6</w:t>
            </w:r>
          </w:p>
        </w:tc>
        <w:tc>
          <w:tcPr>
            <w:tcW w:w="444"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7</w:t>
            </w:r>
          </w:p>
        </w:tc>
        <w:tc>
          <w:tcPr>
            <w:tcW w:w="438"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8</w:t>
            </w:r>
          </w:p>
        </w:tc>
        <w:tc>
          <w:tcPr>
            <w:tcW w:w="497"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9</w:t>
            </w:r>
          </w:p>
        </w:tc>
        <w:tc>
          <w:tcPr>
            <w:tcW w:w="458" w:type="pct"/>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rsidR="00A10DA8" w:rsidRDefault="00CA7E8A">
            <w:pPr>
              <w:tabs>
                <w:tab w:val="left" w:pos="993"/>
              </w:tabs>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10</w:t>
            </w:r>
          </w:p>
        </w:tc>
      </w:tr>
      <w:tr w:rsidR="00A10DA8">
        <w:trPr>
          <w:trHeight w:val="794"/>
        </w:trPr>
        <w:tc>
          <w:tcPr>
            <w:tcW w:w="954" w:type="pct"/>
            <w:tcBorders>
              <w:top w:val="none" w:sz="4" w:space="0" w:color="000000"/>
              <w:left w:val="single" w:sz="4" w:space="0" w:color="auto"/>
              <w:bottom w:val="single" w:sz="4" w:space="0" w:color="auto"/>
              <w:right w:val="single" w:sz="4" w:space="0" w:color="auto"/>
            </w:tcBorders>
            <w:vAlign w:val="center"/>
          </w:tcPr>
          <w:p w:rsidR="00A10DA8" w:rsidRDefault="00CA7E8A">
            <w:pPr>
              <w:tabs>
                <w:tab w:val="left" w:pos="993"/>
              </w:tabs>
              <w:spacing w:after="0" w:line="240" w:lineRule="auto"/>
              <w:rPr>
                <w:rFonts w:ascii="Times New Roman" w:hAnsi="Times New Roman" w:cs="Times New Roman"/>
                <w:sz w:val="16"/>
                <w:szCs w:val="16"/>
              </w:rPr>
            </w:pPr>
            <w:r>
              <w:rPr>
                <w:rFonts w:ascii="Times New Roman" w:hAnsi="Times New Roman" w:cs="Times New Roman"/>
                <w:sz w:val="16"/>
                <w:szCs w:val="16"/>
              </w:rPr>
              <w:t>Прочее (постоянные права владения и пользования)</w:t>
            </w:r>
          </w:p>
        </w:tc>
        <w:tc>
          <w:tcPr>
            <w:tcW w:w="441"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64,36</w:t>
            </w:r>
          </w:p>
        </w:tc>
        <w:tc>
          <w:tcPr>
            <w:tcW w:w="441"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900,42</w:t>
            </w:r>
          </w:p>
        </w:tc>
        <w:tc>
          <w:tcPr>
            <w:tcW w:w="444"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2 187,12</w:t>
            </w:r>
          </w:p>
        </w:tc>
        <w:tc>
          <w:tcPr>
            <w:tcW w:w="440"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0,80</w:t>
            </w:r>
          </w:p>
        </w:tc>
        <w:tc>
          <w:tcPr>
            <w:tcW w:w="443"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4,30</w:t>
            </w:r>
          </w:p>
        </w:tc>
        <w:tc>
          <w:tcPr>
            <w:tcW w:w="444"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16,23</w:t>
            </w:r>
          </w:p>
        </w:tc>
        <w:tc>
          <w:tcPr>
            <w:tcW w:w="438"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497"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458" w:type="pct"/>
            <w:tcBorders>
              <w:top w:val="none" w:sz="4" w:space="0" w:color="000000"/>
              <w:left w:val="none" w:sz="4" w:space="0" w:color="000000"/>
              <w:bottom w:val="single" w:sz="4" w:space="0" w:color="auto"/>
              <w:right w:val="single" w:sz="4" w:space="0" w:color="auto"/>
            </w:tcBorders>
            <w:vAlign w:val="center"/>
          </w:tcPr>
          <w:p w:rsidR="00A10DA8" w:rsidRDefault="00CA7E8A">
            <w:pPr>
              <w:tabs>
                <w:tab w:val="left" w:pos="993"/>
                <w:tab w:val="left" w:pos="1418"/>
                <w:tab w:val="left" w:pos="1843"/>
                <w:tab w:val="left" w:pos="3119"/>
                <w:tab w:val="left" w:pos="3402"/>
              </w:tabs>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r>
    </w:tbl>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АО «Чеченэнерго» эксплуатирует электросетевое имущество по договорам аренды:</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01.01.2019 № 99-31-2019 (ООО «Россети Капитал»);</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01.10.2013 № 1 (ОАО «Нурэнерго»);</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11.05.2023 № 255 (ПАО «Россети»).</w:t>
      </w:r>
    </w:p>
    <w:p w:rsidR="00A10DA8" w:rsidRDefault="00A10DA8">
      <w:pPr>
        <w:tabs>
          <w:tab w:val="left" w:pos="993"/>
        </w:tabs>
        <w:spacing w:after="0" w:line="240" w:lineRule="auto"/>
        <w:ind w:firstLine="709"/>
        <w:jc w:val="both"/>
        <w:rPr>
          <w:rFonts w:ascii="Times New Roman" w:hAnsi="Times New Roman" w:cs="Times New Roman"/>
          <w:b/>
          <w:sz w:val="24"/>
          <w:szCs w:val="24"/>
        </w:rPr>
      </w:pPr>
    </w:p>
    <w:p w:rsidR="00A10DA8" w:rsidRDefault="00A10DA8">
      <w:pPr>
        <w:tabs>
          <w:tab w:val="left" w:pos="993"/>
        </w:tabs>
        <w:spacing w:after="0" w:line="240" w:lineRule="auto"/>
        <w:ind w:firstLine="709"/>
        <w:jc w:val="both"/>
        <w:rPr>
          <w:rFonts w:ascii="Times New Roman" w:hAnsi="Times New Roman" w:cs="Times New Roman"/>
          <w:b/>
          <w:sz w:val="24"/>
          <w:szCs w:val="24"/>
        </w:rPr>
      </w:pPr>
    </w:p>
    <w:p w:rsidR="00A10DA8" w:rsidRDefault="00CA7E8A">
      <w:pPr>
        <w:tabs>
          <w:tab w:val="left" w:pos="993"/>
        </w:tabs>
        <w:spacing w:after="0" w:line="240" w:lineRule="auto"/>
        <w:ind w:firstLine="709"/>
        <w:rPr>
          <w:rFonts w:ascii="Times New Roman" w:hAnsi="Times New Roman" w:cs="Times New Roman"/>
          <w:b/>
          <w:sz w:val="24"/>
          <w:szCs w:val="24"/>
        </w:rPr>
      </w:pPr>
      <w:r>
        <w:rPr>
          <w:rFonts w:ascii="Times New Roman" w:hAnsi="Times New Roman" w:cs="Times New Roman"/>
          <w:b/>
          <w:sz w:val="24"/>
          <w:szCs w:val="24"/>
        </w:rPr>
        <w:t>Доля АО «Чеченэнерго» в НВВ региона обслуживания</w:t>
      </w:r>
    </w:p>
    <w:p w:rsidR="00A10DA8" w:rsidRDefault="00A10DA8">
      <w:pPr>
        <w:tabs>
          <w:tab w:val="left" w:pos="993"/>
        </w:tabs>
        <w:spacing w:after="0" w:line="240" w:lineRule="auto"/>
        <w:ind w:firstLine="709"/>
        <w:jc w:val="both"/>
        <w:rPr>
          <w:rFonts w:ascii="Times New Roman" w:hAnsi="Times New Roman" w:cs="Times New Roman"/>
          <w:b/>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На территории Чеченской Республики помимо АО «Чеченэнерго» </w:t>
      </w:r>
      <w:r>
        <w:rPr>
          <w:rFonts w:ascii="Times New Roman" w:hAnsi="Times New Roman" w:cs="Times New Roman"/>
          <w:sz w:val="24"/>
          <w:szCs w:val="24"/>
        </w:rPr>
        <w:br/>
        <w:t xml:space="preserve">в 2024 году Государственным комитетом цен и тарифов Чеченской </w:t>
      </w:r>
      <w:r>
        <w:rPr>
          <w:rFonts w:ascii="Times New Roman" w:hAnsi="Times New Roman" w:cs="Times New Roman"/>
          <w:sz w:val="24"/>
          <w:szCs w:val="24"/>
        </w:rPr>
        <w:br/>
        <w:t>Республики в статусе территориальной сетевой организации утверждены ОАО «РЖД – «Трансэнерго» – «Северо-Кавказская ЖД» и АО «Оборонэнерго».</w:t>
      </w:r>
    </w:p>
    <w:p w:rsidR="00A10DA8" w:rsidRDefault="00A10DA8">
      <w:pPr>
        <w:tabs>
          <w:tab w:val="left" w:pos="993"/>
        </w:tabs>
        <w:spacing w:after="0" w:line="240" w:lineRule="auto"/>
        <w:ind w:firstLine="709"/>
        <w:jc w:val="center"/>
        <w:rPr>
          <w:rFonts w:ascii="Times New Roman" w:hAnsi="Times New Roman" w:cs="Times New Roman"/>
          <w:b/>
          <w:sz w:val="24"/>
          <w:szCs w:val="24"/>
        </w:rPr>
      </w:pPr>
    </w:p>
    <w:p w:rsidR="00A10DA8" w:rsidRDefault="00CA7E8A">
      <w:pPr>
        <w:tabs>
          <w:tab w:val="left" w:pos="993"/>
        </w:tabs>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 xml:space="preserve">Доля АО «Чеченэнерго» в НВВ (без учета оплаты потерь) </w:t>
      </w:r>
    </w:p>
    <w:p w:rsidR="00A10DA8" w:rsidRDefault="00CA7E8A">
      <w:pPr>
        <w:tabs>
          <w:tab w:val="left" w:pos="993"/>
        </w:tabs>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региона обслуживания</w:t>
      </w:r>
    </w:p>
    <w:p w:rsidR="00A10DA8" w:rsidRDefault="00A10DA8">
      <w:pPr>
        <w:tabs>
          <w:tab w:val="left" w:pos="993"/>
        </w:tabs>
        <w:spacing w:after="0" w:line="240" w:lineRule="auto"/>
        <w:ind w:firstLine="709"/>
        <w:jc w:val="center"/>
        <w:rPr>
          <w:rFonts w:ascii="Times New Roman" w:hAnsi="Times New Roman" w:cs="Times New Roman"/>
          <w:b/>
          <w:sz w:val="24"/>
          <w:szCs w:val="24"/>
        </w:rPr>
      </w:pP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7"/>
        <w:gridCol w:w="3165"/>
        <w:gridCol w:w="3052"/>
      </w:tblGrid>
      <w:tr w:rsidR="00A10DA8">
        <w:tc>
          <w:tcPr>
            <w:tcW w:w="3099" w:type="dxa"/>
          </w:tcPr>
          <w:p w:rsidR="00A10DA8" w:rsidRDefault="00CA7E8A">
            <w:pPr>
              <w:tabs>
                <w:tab w:val="left" w:pos="142"/>
                <w:tab w:val="left" w:pos="993"/>
                <w:tab w:val="left" w:pos="9356"/>
              </w:tabs>
              <w:jc w:val="both"/>
              <w:rPr>
                <w:b/>
                <w:sz w:val="24"/>
                <w:szCs w:val="24"/>
              </w:rPr>
            </w:pPr>
            <w:r>
              <w:rPr>
                <w:noProof/>
                <w:sz w:val="24"/>
                <w:szCs w:val="24"/>
              </w:rPr>
              <w:drawing>
                <wp:inline distT="0" distB="0" distL="0" distR="0">
                  <wp:extent cx="1971675" cy="2181225"/>
                  <wp:effectExtent l="0" t="0" r="0" b="0"/>
                  <wp:docPr id="2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3184" w:type="dxa"/>
          </w:tcPr>
          <w:p w:rsidR="00A10DA8" w:rsidRDefault="00CA7E8A">
            <w:pPr>
              <w:tabs>
                <w:tab w:val="left" w:pos="142"/>
                <w:tab w:val="left" w:pos="993"/>
                <w:tab w:val="left" w:pos="9356"/>
              </w:tabs>
              <w:jc w:val="both"/>
              <w:rPr>
                <w:b/>
                <w:sz w:val="24"/>
                <w:szCs w:val="24"/>
              </w:rPr>
            </w:pPr>
            <w:r>
              <w:rPr>
                <w:noProof/>
                <w:sz w:val="24"/>
                <w:szCs w:val="24"/>
              </w:rPr>
              <w:drawing>
                <wp:inline distT="0" distB="0" distL="0" distR="0">
                  <wp:extent cx="1990725" cy="2162175"/>
                  <wp:effectExtent l="0" t="0" r="0" b="0"/>
                  <wp:docPr id="2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3213" w:type="dxa"/>
          </w:tcPr>
          <w:p w:rsidR="00A10DA8" w:rsidRDefault="00CA7E8A">
            <w:pPr>
              <w:tabs>
                <w:tab w:val="left" w:pos="142"/>
                <w:tab w:val="left" w:pos="993"/>
                <w:tab w:val="left" w:pos="9356"/>
              </w:tabs>
              <w:jc w:val="both"/>
              <w:rPr>
                <w:b/>
                <w:sz w:val="24"/>
                <w:szCs w:val="24"/>
              </w:rPr>
            </w:pPr>
            <w:r>
              <w:rPr>
                <w:noProof/>
                <w:sz w:val="24"/>
                <w:szCs w:val="24"/>
              </w:rPr>
              <w:drawing>
                <wp:inline distT="0" distB="0" distL="0" distR="0">
                  <wp:extent cx="1914525" cy="2190750"/>
                  <wp:effectExtent l="0" t="0" r="0" b="0"/>
                  <wp:docPr id="2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A10DA8" w:rsidRDefault="00CA7E8A">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Изменение доли НВВ АО «Чеченэнерго» в 2022-2024 гг. не связано с реализуемой стратегией по консолидации, а является следствием принятых в республике тарифно-балансовых решений.</w:t>
      </w:r>
    </w:p>
    <w:p w:rsidR="00A10DA8" w:rsidRDefault="00A10DA8">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A10DA8" w:rsidRDefault="00CA7E8A">
      <w:pPr>
        <w:pStyle w:val="1"/>
        <w:ind w:firstLine="709"/>
      </w:pPr>
      <w:bookmarkStart w:id="27" w:name="_Toc195780424"/>
      <w:r>
        <w:t>Инновационная деятельность</w:t>
      </w:r>
      <w:bookmarkEnd w:id="27"/>
    </w:p>
    <w:p w:rsidR="00A10DA8" w:rsidRDefault="00A10DA8">
      <w:pPr>
        <w:spacing w:after="0" w:line="240" w:lineRule="auto"/>
        <w:ind w:firstLine="709"/>
        <w:rPr>
          <w:rFonts w:ascii="Times New Roman" w:hAnsi="Times New Roman" w:cs="Times New Roman"/>
          <w:b/>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Инновационная деятельность АО «Чеченэнерго» осуществляется в соответствии с Политикой инновационного развития АО «Чеченэнерго», утвержденной решением Совета директоров АО «Чеченэнерго» 21.07.2022 (протокол от 21.07.2022 № 269), разработанной с целью формирования эффективных механизмов, направленных на модернизацию электросетевого комплекса, активизацию научно-технической и изобретательской деятельности, адаптацию к внедрению нововведений, совершенствование и развитие инновационной системы.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ПИР определяет и систематизирует инновационную и научно-техническую деятельность АО «Чеченэнерго» и его структурных подразделений, устанавливает мероприятия в области научного, технического, технологического и инновационного развития. Требования ПИР обязательны для исполнения всеми структурными подразделениями АО «Чеченэнерго», осуществляющими деятельность в области организации, исполнения и контроля технологического развития, инноваций, модернизации электросетевого комплекса, развития и автоматизации систем управления, в том числе и для АО «Чеченэнерго».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ПИР является ключевым основополагающим документом АО «Чеченэнерго» в области научно-технического развития, новых разработок и исследований. ПИР определяет и систематизирует инновационную деятельность и устанавливает мероприятия в области научного, технического, технологического и инновационного развития. </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Целью инновационного развития является переход к электрической сети нового технологического уклада с качественно новыми характеристиками надежности, эффективности, доступности, управляемости и клиентоориентированности электросетевого комплекса в целом. Под электрической сетью нового технологического </w:t>
      </w:r>
      <w:r>
        <w:rPr>
          <w:rFonts w:ascii="Times New Roman" w:hAnsi="Times New Roman" w:cs="Times New Roman"/>
          <w:sz w:val="24"/>
          <w:szCs w:val="24"/>
        </w:rPr>
        <w:lastRenderedPageBreak/>
        <w:t>уклада понимается электроэнергетическая система, характеризующаяся следующими основными свойствами: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автоматическое управление электросети на принципах распределенного (мультиагентного) управления;</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самодиагностика в режиме реального времени параметров и режимов работы энергосистемы, отдельных объектов и единиц оборудования с целью повышения системной и потребительской надежности, снижения операционных издержек и т.д.;</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гибкая автоматическая реконфигурация сети в ответ на изменение ее параметров и топологии (в том числе предотвращение аварий/самовосстановление сети после аварий);</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предоставление различным категориям потребителей специализированных услуг и сервисов.</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Реализация ПИР направлена на создание в Обществе эффективных условий для обеспечения:</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достижения целевых показателей производительности труда и создания высокопроизводительных рабочих мест, предусмотренных в Указе Президента Российской Федерации от 07.05.2012 № 596 «О долгосрочной государственной экономической политике»;</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разработки и реализации комплекса мер, направленных на отказ от использования устаревших и неэффективных технологий и внедрение современных российских технологий;</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лидерства Общества в своей отрасли по отношению к компаниям – аналогам, в том числе зарубежным;</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роста долгосрочного инвестирования в фундаментальные и прикладные исследования и разработки;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увязки программы инновационного развития с утвержденными долгосрочными программами развития, инвестиционной программой, другими документами АО «Чеченэнерго», а также документами государственного стратегического планирования.</w:t>
      </w:r>
    </w:p>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Ключевые направления инновационного развития</w:t>
      </w:r>
    </w:p>
    <w:p w:rsidR="00A10DA8" w:rsidRDefault="00A10DA8">
      <w:pPr>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области технологических инноваций:</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новые технологии и решения - деятельность в области создания новых видов материалов, изоляции, оборудования, участвующего в основных бизнес-процессах компании (изоляторы-разрядники, материалы, основанные на высокотемпературной сверхпроводимости, новые способы дугогашения, новые виды изоляции, силовая электроника и т.д.).</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оцифровка процессов управления и технологических процессов - переход от аналогового к цифровому принципу управления автоматики релейной защиты и противоаварийной автоматики, автоматизированной системы управления технологическими процессами, учета электроэнергии и связи (применение цифровых измерительных трансформаторов); цифровое моделирование и проектирование; цифровизация управления производственными активами; внедрение цифровых систем наблюдения технологических процессов.</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развитие мультиагентных систем - развитие принципов взаимодействия в системах управления peer-to-peer между элементами и системами электрических сетей (внедрение распределенных интеллектуальных систем управления).</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повышение активности и адаптивности электрических сетей - развитие свойств сети для повышения устойчивости к возмущениям в сети и автоматического восстановления нормального режима работы (адаптивные устройства РЗА, системы регулирования, логическая автоматика, цифровая онлайн-модель сети).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В области организационных и маркетинговых инноваций:</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проектирование новых и системный реинжиниринг существующих бизнес-процессов с точки зрения комплексной эффективности - управление производственными активами, системы менеджмента, клиентские сервисы, управление жизненным циклом систем.</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инновационность управления персоналом - внедрение актуальных для современных условий технологий управления человеческими ресурсами.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формирование инновационного окружения - стимулирование формирования широкого спектра инновационных компаний, научных организаций и образовательных учреждений.</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Направления Программы инновационного развития ПАО «Россети»: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переход к высокоавтоматизированным подстанциям различного класса напряжения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переход к высокоавтоматизированным сетям с распределенной интеллектуальной системой автоматизации и управления;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переход к комплексной эффективности бизнес-процессов и автоматизации систем управления;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применение новых технологий и материалов в электроэнергетике;</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развитие системы разработки и внедрения инновационной продукции и технологий, мероприятия НИОКР;</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развитие системы управления инновационным развитием и формирование инновационной инфраструктуры;</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развитие кадрового потенциала и партнерства в сфере образования.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рамках направлений ПИР ПАО «Россети» на объектах АО «Чеченэнерго» в 2024 году были реализованы следующие мероприятия: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Развитие системы управления производственными активами (СУПА).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Основной целью развития СУПА является повышение эффективности управления предприятием. </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Задачи развития СУПА: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создание единого информационного пространства предприятия, позволяющего использовать всю накопленную информацию о ходе производственного процесса для принятия управленческих решений;</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создание комплексной системы управления техническим обслуживанием, диагностикой и техническим освидетельствованием электросетевого оборудования;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организация быстрого и надежного механизма документооборота;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максимальная автоматизация рутинных учетных процедур.</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СУПА должна быть целостным программно-аппаратным комплексом, позволяющим удовлетворить как текущие, так и будущие потребности Общества в обработке данных. В качестве типовой конфигурации для создания и внедрения использованы прикладные решения.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соответствии с Планом развития системы управления производственными активами ПАО «Россети Северный Кавказ» на 2024-2026 гг., утвержденным решением Совета директоров ПАО «Россети Северный Кавказ» (протокол от 14.11.2024 № 568) в 2024 году предусмотрены мероприятие по усовершенствованию СУПА: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Реализованы мероприятия по устранению замечаний к работе информационных систем АСУ ТПиР, АСУ ТОиР и смежных функциональных модулей СУПА, препятствующих корректному формированию производственных программ и сетевой отчетности, в том числе реализован функционал по автоматизации формирования XML-файлов по планам работ и их передачи в Автоматизированную систему сбора и обработки информации.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Реализуются мероприятия по доработке функционала СУПА для паспортизации вторичного оборудования и планирования мероприятий технического облуживания и ремонтов (далее - ТОиР) по вторичному оборудованию.</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Реализуются мероприятия по централизации информационных баз данных СУПА на новой платформе.</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Финансирование развития СУПА на объектах АО «Чеченэнерго» в 2024 году производилось за счет средств ПАО «Россети Северный Кавказ».</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Проведение технических семинаров.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информационного обеспечения персонала АО «Чеченэнерго» в области инновационных разработок оборудования, материалов и технологий в 2024 году было организовано проведение ознакомительных и обучающих технических семинаров — совещаний со следующими компаниями:</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ООО «Таврида Электрик»;</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АО «НПО «Стример»;</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АО «РАДИУС Автоматика»;</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ООО «АРМАТЕХ»;</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АО «ЮАИЗ»;</w:t>
      </w:r>
    </w:p>
    <w:p w:rsidR="00A10DA8" w:rsidRDefault="00CA7E8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ООО «ВОЛЬТ-СПБ»</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Кроме проводимых на регулярной основе семинаров-совещаний, организовано обеспечение раздаточными материалами, содержащими информацию о новых технологиях, современных разработках основных производителей электротехнического оборудования и материалов.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3.Сотрудничество с научными организациями и инновационными компаниями.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АО «Чеченэнерго» заключено Соглашение о сотрудничестве с ФГБОУ ВО «Грозненский государственный нефтяной технический университет им. академика М.Д. Миллионщикова».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 указанными вузом ведется сотрудничество по следующим направлениям деятельности: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целевая подготовка специалистов для нужд компаний распределительного сетевого комплекса;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профессиональная подготовка, переподготовка и повышение квалификации работников АО «Чеченэнерго»;</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организация на площадке университета диалога с участием представителей организаций электроэнергетической отрасли, органов государственной власти, учреждений науки, общественных организаций, других заинтересованных участников для выработки совместных позиций по актуальным вопросам функционирования и развития электросетевого комплекса в области развития электроэнергетики с компаниями инновационного профиля.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связи с незначительным объемом финансирования не представляется возможным выполнение показателей по инновационной деятельности.</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pStyle w:val="1"/>
        <w:ind w:firstLine="709"/>
        <w:rPr>
          <w:b w:val="0"/>
        </w:rPr>
      </w:pPr>
      <w:bookmarkStart w:id="28" w:name="_Toc195780425"/>
      <w:bookmarkStart w:id="29" w:name="_Toc473537021"/>
      <w:r>
        <w:t>Управление персоналом</w:t>
      </w:r>
      <w:bookmarkEnd w:id="28"/>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Ключевыми целями кадровой и социальной политики Общества, призванными обеспечить достижение целевых ориентиров Стратегии развития электросетевого комплекса России, являются:</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планирование потребности в персонале -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Обществом задач;</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своевременное обеспечение потребностей Общества в персонале требуемой квалификации;</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обеспечение эффективности деятельности персонала, рост производительности труда в Обществе.</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Фактическая среднесписочная численность персонала Общества за 2024 год составила 2353,2 ед., что ниже величины за аналогичный период 2023 года на 37,2 ед. Снижение численности обусловлено не заполнением вакансий производственного персонала.</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pStyle w:val="affffff0"/>
        <w:jc w:val="center"/>
        <w:rPr>
          <w:szCs w:val="26"/>
        </w:rPr>
      </w:pPr>
      <w:r>
        <w:rPr>
          <w:i w:val="0"/>
        </w:rPr>
        <w:t>Среднесписочная численность персонала в динамике за 2022-2024 гг.:</w:t>
      </w:r>
      <w:r>
        <w:rPr>
          <w:noProof/>
          <w:color w:val="FF0000"/>
          <w:sz w:val="26"/>
          <w:szCs w:val="24"/>
        </w:rPr>
        <w:drawing>
          <wp:inline distT="0" distB="0" distL="0" distR="0">
            <wp:extent cx="5734050" cy="962167"/>
            <wp:effectExtent l="0" t="0" r="0" b="9525"/>
            <wp:docPr id="3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Уровень обеспеченности персоналом в Обществе на конец 2024 года составил 96,7 %. Уровень обеспеченности производственным персоналом Общества составил 96,8 %. В целом по Обществу укомплектованность персоналом на протяжении трех лет поддерживается на достаточно высоком уровне.</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Уровень активной текучести в Обществе по итогам 2024 года составил 1 %. Снижение активной текучести в сравнении с 2023 годом обусловлено проявлением инициативы работников Общества о расторжении трудовых отношений по соглашению сторон.</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Средний возраст работников Общества в 2024 году составил 43 года, что ниже аналогичного показателя 2023 года.</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tabs>
          <w:tab w:val="left" w:pos="993"/>
        </w:tabs>
        <w:spacing w:after="0" w:line="240" w:lineRule="auto"/>
        <w:ind w:firstLine="709"/>
        <w:jc w:val="center"/>
        <w:rPr>
          <w:lang w:eastAsia="ru-RU"/>
        </w:rPr>
      </w:pPr>
      <w:r>
        <w:rPr>
          <w:rFonts w:ascii="Times New Roman" w:hAnsi="Times New Roman" w:cs="Times New Roman"/>
          <w:b/>
          <w:sz w:val="24"/>
          <w:szCs w:val="24"/>
        </w:rPr>
        <w:t>Структура персонала по возрасту за 2022-2024 гг.</w:t>
      </w:r>
      <w:r>
        <w:rPr>
          <w:rFonts w:ascii="Times New Roman" w:hAnsi="Times New Roman" w:cs="Times New Roman"/>
          <w:sz w:val="24"/>
          <w:szCs w:val="24"/>
        </w:rPr>
        <w:t xml:space="preserve"> </w:t>
      </w:r>
    </w:p>
    <w:p w:rsidR="00A10DA8" w:rsidRDefault="00CA7E8A">
      <w:pPr>
        <w:tabs>
          <w:tab w:val="left" w:pos="0"/>
        </w:tabs>
        <w:spacing w:after="0" w:line="240" w:lineRule="auto"/>
        <w:jc w:val="center"/>
        <w:rPr>
          <w:rFonts w:ascii="Times New Roman" w:hAnsi="Times New Roman" w:cs="Times New Roman"/>
          <w:b/>
          <w:sz w:val="24"/>
          <w:szCs w:val="24"/>
        </w:rPr>
      </w:pPr>
      <w:r>
        <w:rPr>
          <w:noProof/>
          <w:lang w:eastAsia="ru-RU"/>
        </w:rPr>
        <w:drawing>
          <wp:inline distT="0" distB="0" distL="0" distR="0">
            <wp:extent cx="5076825" cy="1095375"/>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 гендерному составу Общество соответствует типичному для электросетевых компаний соотношению персонала – доля мужчин 77,29 %, доля женщин 22,71 %. </w:t>
      </w:r>
    </w:p>
    <w:p w:rsidR="00A10DA8" w:rsidRDefault="00A10DA8">
      <w:pPr>
        <w:tabs>
          <w:tab w:val="left" w:pos="993"/>
        </w:tabs>
        <w:spacing w:after="0" w:line="240" w:lineRule="auto"/>
        <w:jc w:val="center"/>
        <w:rPr>
          <w:rFonts w:ascii="Times New Roman" w:hAnsi="Times New Roman" w:cs="Times New Roman"/>
          <w:b/>
          <w:sz w:val="24"/>
          <w:szCs w:val="24"/>
        </w:rPr>
      </w:pPr>
    </w:p>
    <w:p w:rsidR="00A10DA8" w:rsidRDefault="00A10DA8">
      <w:pPr>
        <w:tabs>
          <w:tab w:val="left" w:pos="993"/>
        </w:tabs>
        <w:spacing w:after="0" w:line="240" w:lineRule="auto"/>
        <w:jc w:val="center"/>
        <w:rPr>
          <w:rFonts w:ascii="Times New Roman" w:hAnsi="Times New Roman" w:cs="Times New Roman"/>
          <w:b/>
          <w:sz w:val="24"/>
          <w:szCs w:val="24"/>
        </w:rPr>
      </w:pPr>
    </w:p>
    <w:p w:rsidR="00A10DA8" w:rsidRDefault="00CA7E8A">
      <w:pPr>
        <w:tabs>
          <w:tab w:val="left" w:pos="993"/>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Доля мужчин и женщин по категориям сотрудников в 2024 году, %</w:t>
      </w:r>
    </w:p>
    <w:p w:rsidR="00A10DA8" w:rsidRDefault="00CA7E8A">
      <w:pPr>
        <w:tabs>
          <w:tab w:val="left" w:pos="0"/>
        </w:tabs>
        <w:spacing w:after="0" w:line="240" w:lineRule="auto"/>
        <w:rPr>
          <w:rFonts w:ascii="Times New Roman" w:hAnsi="Times New Roman" w:cs="Times New Roman"/>
          <w:sz w:val="24"/>
          <w:szCs w:val="24"/>
        </w:rPr>
      </w:pPr>
      <w:r>
        <w:rPr>
          <w:noProof/>
          <w:lang w:eastAsia="ru-RU"/>
        </w:rPr>
        <w:drawing>
          <wp:inline distT="0" distB="0" distL="0" distR="0">
            <wp:extent cx="5838825" cy="1216324"/>
            <wp:effectExtent l="0" t="0" r="0" b="3175"/>
            <wp:docPr id="3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10DA8" w:rsidRDefault="00A10DA8">
      <w:pPr>
        <w:tabs>
          <w:tab w:val="left" w:pos="993"/>
        </w:tabs>
        <w:spacing w:after="0" w:line="240" w:lineRule="auto"/>
        <w:ind w:firstLine="709"/>
        <w:jc w:val="both"/>
        <w:rPr>
          <w:rFonts w:ascii="Times New Roman" w:hAnsi="Times New Roman" w:cs="Times New Roman"/>
          <w:b/>
          <w:bCs/>
          <w:sz w:val="24"/>
          <w:szCs w:val="24"/>
        </w:rPr>
      </w:pPr>
    </w:p>
    <w:p w:rsidR="00A10DA8" w:rsidRDefault="00A10DA8">
      <w:pPr>
        <w:tabs>
          <w:tab w:val="left" w:pos="993"/>
        </w:tabs>
        <w:spacing w:after="0" w:line="240" w:lineRule="auto"/>
        <w:ind w:firstLine="709"/>
        <w:jc w:val="both"/>
        <w:rPr>
          <w:rFonts w:ascii="Times New Roman" w:hAnsi="Times New Roman" w:cs="Times New Roman"/>
          <w:b/>
          <w:bCs/>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b/>
          <w:bCs/>
          <w:sz w:val="24"/>
          <w:szCs w:val="24"/>
        </w:rPr>
        <w:t>Структура персонала по уровню образования в динамике за 2022-2024 гг.</w:t>
      </w:r>
    </w:p>
    <w:p w:rsidR="00A10DA8" w:rsidRDefault="00CA7E8A">
      <w:pPr>
        <w:tabs>
          <w:tab w:val="left" w:pos="993"/>
        </w:tabs>
        <w:spacing w:after="0" w:line="240" w:lineRule="auto"/>
        <w:jc w:val="both"/>
        <w:rPr>
          <w:rFonts w:ascii="Times New Roman" w:hAnsi="Times New Roman" w:cs="Times New Roman"/>
          <w:sz w:val="24"/>
          <w:szCs w:val="24"/>
        </w:rPr>
      </w:pPr>
      <w:r>
        <w:rPr>
          <w:noProof/>
          <w:lang w:eastAsia="ru-RU"/>
        </w:rPr>
        <w:lastRenderedPageBreak/>
        <w:drawing>
          <wp:inline distT="0" distB="0" distL="0" distR="0">
            <wp:extent cx="5867400" cy="1086928"/>
            <wp:effectExtent l="0" t="0" r="0" b="0"/>
            <wp:docPr id="3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56,87 % работников Общества имеют профессиональное образование.</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При анализе структуры персонала Общества по уровню образования необходимо отметить снижение на протяжении 3 лет доли работников, не имеющих профессионального образования, что явилось результатом системы целенаправленных действий по привлечению на работу кандидатов, обладающих качествами, необходимыми для достижения целей, поставленных Обществом.</w:t>
      </w:r>
    </w:p>
    <w:p w:rsidR="00A10DA8" w:rsidRDefault="00A10DA8">
      <w:pPr>
        <w:spacing w:after="0" w:line="240" w:lineRule="auto"/>
        <w:ind w:firstLine="709"/>
        <w:jc w:val="both"/>
        <w:rPr>
          <w:rFonts w:ascii="Times New Roman" w:eastAsia="Calibri" w:hAnsi="Times New Roman" w:cs="Times New Roman"/>
          <w:sz w:val="24"/>
          <w:szCs w:val="24"/>
        </w:rPr>
      </w:pP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709"/>
        <w:gridCol w:w="992"/>
        <w:gridCol w:w="992"/>
        <w:gridCol w:w="992"/>
        <w:gridCol w:w="992"/>
      </w:tblGrid>
      <w:tr w:rsidR="00A10DA8" w:rsidTr="009D2295">
        <w:trPr>
          <w:cantSplit/>
          <w:trHeight w:val="64"/>
          <w:jc w:val="center"/>
        </w:trPr>
        <w:tc>
          <w:tcPr>
            <w:tcW w:w="4531" w:type="dxa"/>
            <w:vMerge w:val="restart"/>
            <w:vAlign w:val="center"/>
          </w:tcPr>
          <w:p w:rsidR="00A10DA8" w:rsidRDefault="00CA7E8A">
            <w:pPr>
              <w:widowControl w:val="0"/>
              <w:spacing w:after="0" w:line="240" w:lineRule="auto"/>
              <w:ind w:left="-113" w:right="-114"/>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Показатели</w:t>
            </w:r>
          </w:p>
        </w:tc>
        <w:tc>
          <w:tcPr>
            <w:tcW w:w="709" w:type="dxa"/>
            <w:vMerge w:val="restart"/>
            <w:vAlign w:val="center"/>
          </w:tcPr>
          <w:p w:rsidR="00A10DA8" w:rsidRDefault="00CA7E8A">
            <w:pPr>
              <w:widowControl w:val="0"/>
              <w:tabs>
                <w:tab w:val="left" w:pos="40"/>
              </w:tabs>
              <w:spacing w:after="0" w:line="240" w:lineRule="auto"/>
              <w:ind w:left="-111" w:right="-112"/>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Ед. изм.</w:t>
            </w:r>
          </w:p>
        </w:tc>
        <w:tc>
          <w:tcPr>
            <w:tcW w:w="3968"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Период</w:t>
            </w:r>
          </w:p>
        </w:tc>
      </w:tr>
      <w:tr w:rsidR="00A10DA8" w:rsidTr="009D2295">
        <w:trPr>
          <w:cantSplit/>
          <w:jc w:val="center"/>
        </w:trPr>
        <w:tc>
          <w:tcPr>
            <w:tcW w:w="4531" w:type="dxa"/>
            <w:vMerge/>
          </w:tcPr>
          <w:p w:rsidR="00A10DA8" w:rsidRDefault="00A10DA8">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709" w:type="dxa"/>
            <w:vMerge/>
          </w:tcPr>
          <w:p w:rsidR="00A10DA8" w:rsidRDefault="00A10DA8">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vAlign w:val="center"/>
          </w:tcPr>
          <w:p w:rsidR="00A10DA8" w:rsidRDefault="00CA7E8A">
            <w:pPr>
              <w:widowControl w:val="0"/>
              <w:spacing w:after="0" w:line="240" w:lineRule="auto"/>
              <w:ind w:left="-96" w:right="-122"/>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2022 г.</w:t>
            </w:r>
          </w:p>
          <w:p w:rsidR="00A10DA8" w:rsidRDefault="00CA7E8A">
            <w:pPr>
              <w:widowControl w:val="0"/>
              <w:spacing w:after="0" w:line="240" w:lineRule="auto"/>
              <w:ind w:left="-96" w:right="-122"/>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92" w:type="dxa"/>
            <w:shd w:val="clear" w:color="auto" w:fill="auto"/>
            <w:vAlign w:val="center"/>
          </w:tcPr>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2023 г.</w:t>
            </w:r>
          </w:p>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92" w:type="dxa"/>
            <w:vAlign w:val="center"/>
          </w:tcPr>
          <w:p w:rsidR="00A10DA8" w:rsidRDefault="00CA7E8A">
            <w:pPr>
              <w:widowControl w:val="0"/>
              <w:spacing w:after="0" w:line="240" w:lineRule="auto"/>
              <w:ind w:left="-119" w:right="-143"/>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2024 г.</w:t>
            </w:r>
          </w:p>
          <w:p w:rsidR="00A10DA8" w:rsidRDefault="00CA7E8A">
            <w:pPr>
              <w:widowControl w:val="0"/>
              <w:spacing w:after="0" w:line="240" w:lineRule="auto"/>
              <w:ind w:left="-119" w:right="-143"/>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изменение 2024/2023, %</w:t>
            </w:r>
          </w:p>
        </w:tc>
      </w:tr>
      <w:tr w:rsidR="00A10DA8" w:rsidTr="009D2295">
        <w:trPr>
          <w:cantSplit/>
          <w:jc w:val="center"/>
        </w:trPr>
        <w:tc>
          <w:tcPr>
            <w:tcW w:w="4531" w:type="dxa"/>
          </w:tcPr>
          <w:p w:rsidR="00A10DA8" w:rsidRDefault="00CA7E8A">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709" w:type="dxa"/>
          </w:tcPr>
          <w:p w:rsidR="00A10DA8" w:rsidRDefault="00CA7E8A">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92" w:type="dxa"/>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992" w:type="dxa"/>
            <w:shd w:val="clear" w:color="auto" w:fill="auto"/>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992" w:type="dxa"/>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992" w:type="dxa"/>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A10DA8" w:rsidTr="009D2295">
        <w:trPr>
          <w:cantSplit/>
          <w:trHeight w:val="173"/>
          <w:jc w:val="center"/>
        </w:trPr>
        <w:tc>
          <w:tcPr>
            <w:tcW w:w="4531" w:type="dxa"/>
          </w:tcPr>
          <w:p w:rsidR="00A10DA8" w:rsidRDefault="00CA7E8A">
            <w:pPr>
              <w:widowControl w:val="0"/>
              <w:spacing w:after="0" w:line="240" w:lineRule="auto"/>
              <w:jc w:val="both"/>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color w:val="000000"/>
                <w:sz w:val="20"/>
                <w:szCs w:val="20"/>
                <w:lang w:eastAsia="ru-RU"/>
              </w:rPr>
              <w:t>Среднесписочная численность персонала</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992" w:type="dxa"/>
            <w:vAlign w:val="bottom"/>
          </w:tcPr>
          <w:p w:rsidR="00A10DA8" w:rsidRDefault="00CA7E8A">
            <w:pPr>
              <w:widowControl w:val="0"/>
              <w:ind w:right="-143"/>
              <w:rPr>
                <w:rFonts w:ascii="Times New Roman" w:hAnsi="Times New Roman" w:cs="Times New Roman"/>
                <w:bCs/>
                <w:sz w:val="18"/>
                <w:szCs w:val="18"/>
                <w:lang w:eastAsia="ru-RU"/>
              </w:rPr>
            </w:pPr>
            <w:r>
              <w:rPr>
                <w:rFonts w:ascii="Times New Roman" w:hAnsi="Times New Roman" w:cs="Times New Roman"/>
                <w:bCs/>
                <w:sz w:val="18"/>
                <w:szCs w:val="18"/>
                <w:lang w:eastAsia="ru-RU"/>
              </w:rPr>
              <w:t>2 378,8</w:t>
            </w:r>
          </w:p>
        </w:tc>
        <w:tc>
          <w:tcPr>
            <w:tcW w:w="992" w:type="dxa"/>
            <w:shd w:val="clear" w:color="auto" w:fill="auto"/>
            <w:vAlign w:val="bottom"/>
          </w:tcPr>
          <w:p w:rsidR="00A10DA8" w:rsidRDefault="00CA7E8A">
            <w:pPr>
              <w:widowControl w:val="0"/>
              <w:ind w:right="-143"/>
              <w:rPr>
                <w:rFonts w:ascii="Times New Roman" w:hAnsi="Times New Roman" w:cs="Times New Roman"/>
                <w:bCs/>
                <w:sz w:val="18"/>
                <w:szCs w:val="18"/>
                <w:lang w:eastAsia="ru-RU"/>
              </w:rPr>
            </w:pPr>
            <w:r>
              <w:rPr>
                <w:rFonts w:ascii="Times New Roman" w:hAnsi="Times New Roman" w:cs="Times New Roman"/>
                <w:bCs/>
                <w:sz w:val="18"/>
                <w:szCs w:val="18"/>
                <w:lang w:eastAsia="ru-RU"/>
              </w:rPr>
              <w:t>2 390,4</w:t>
            </w:r>
          </w:p>
        </w:tc>
        <w:tc>
          <w:tcPr>
            <w:tcW w:w="992" w:type="dxa"/>
            <w:vAlign w:val="bottom"/>
          </w:tcPr>
          <w:p w:rsidR="00A10DA8" w:rsidRDefault="00CA7E8A">
            <w:pPr>
              <w:widowControl w:val="0"/>
              <w:ind w:right="-143"/>
              <w:rPr>
                <w:rFonts w:ascii="Times New Roman" w:hAnsi="Times New Roman" w:cs="Times New Roman"/>
                <w:bCs/>
                <w:sz w:val="18"/>
                <w:szCs w:val="18"/>
                <w:lang w:eastAsia="ru-RU"/>
              </w:rPr>
            </w:pPr>
            <w:r>
              <w:rPr>
                <w:rFonts w:ascii="Times New Roman" w:hAnsi="Times New Roman" w:cs="Times New Roman"/>
                <w:bCs/>
                <w:sz w:val="18"/>
                <w:szCs w:val="18"/>
                <w:lang w:eastAsia="ru-RU"/>
              </w:rPr>
              <w:t>2 353,2</w:t>
            </w:r>
          </w:p>
        </w:tc>
        <w:tc>
          <w:tcPr>
            <w:tcW w:w="992" w:type="dxa"/>
          </w:tcPr>
          <w:p w:rsidR="00A10DA8" w:rsidRDefault="00CA7E8A">
            <w:pPr>
              <w:widowControl w:val="0"/>
              <w:ind w:right="-143"/>
              <w:rPr>
                <w:rFonts w:ascii="Times New Roman" w:hAnsi="Times New Roman" w:cs="Times New Roman"/>
                <w:bCs/>
                <w:sz w:val="18"/>
                <w:szCs w:val="18"/>
                <w:lang w:eastAsia="ru-RU"/>
              </w:rPr>
            </w:pPr>
            <w:r>
              <w:rPr>
                <w:rFonts w:ascii="Times New Roman" w:hAnsi="Times New Roman" w:cs="Times New Roman"/>
                <w:bCs/>
                <w:sz w:val="18"/>
                <w:szCs w:val="18"/>
                <w:lang w:eastAsia="ru-RU"/>
              </w:rPr>
              <w:t>-1,6</w:t>
            </w:r>
          </w:p>
        </w:tc>
      </w:tr>
      <w:tr w:rsidR="00A10DA8" w:rsidTr="009D2295">
        <w:trPr>
          <w:cantSplit/>
          <w:trHeight w:val="435"/>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Гендерный состав руководителей</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992" w:type="dxa"/>
          </w:tcPr>
          <w:p w:rsidR="00A10DA8" w:rsidRDefault="00CA7E8A">
            <w:pPr>
              <w:widowControl w:val="0"/>
              <w:spacing w:after="0" w:line="240" w:lineRule="auto"/>
              <w:ind w:right="-143"/>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94,1/5,9</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93,2/6,8</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93,81/6,19</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0,61</w:t>
            </w:r>
          </w:p>
        </w:tc>
      </w:tr>
      <w:tr w:rsidR="00A10DA8" w:rsidTr="009D2295">
        <w:trPr>
          <w:cantSplit/>
          <w:trHeight w:val="271"/>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Гендерный состав специалистов</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992" w:type="dxa"/>
          </w:tcPr>
          <w:p w:rsidR="00A10DA8" w:rsidRDefault="00CA7E8A">
            <w:pPr>
              <w:widowControl w:val="0"/>
              <w:spacing w:after="0" w:line="240" w:lineRule="auto"/>
              <w:ind w:right="-143"/>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57,69/42,31</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57,83/42,17</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57,43/42,57</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-0,4</w:t>
            </w:r>
          </w:p>
        </w:tc>
      </w:tr>
      <w:tr w:rsidR="00A10DA8" w:rsidTr="009D2295">
        <w:trPr>
          <w:cantSplit/>
          <w:trHeight w:val="246"/>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Гендерный состав рабочих</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82,62/17,38</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82,5/17,5</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81,45/18,55</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-1,05</w:t>
            </w:r>
          </w:p>
        </w:tc>
      </w:tr>
      <w:tr w:rsidR="00A10DA8" w:rsidTr="009D2295">
        <w:trPr>
          <w:cantSplit/>
          <w:trHeight w:val="246"/>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Средний возраст работников</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лет</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45</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46</w:t>
            </w:r>
          </w:p>
        </w:tc>
        <w:tc>
          <w:tcPr>
            <w:tcW w:w="992" w:type="dxa"/>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43</w:t>
            </w:r>
          </w:p>
        </w:tc>
        <w:tc>
          <w:tcPr>
            <w:tcW w:w="992" w:type="dxa"/>
          </w:tcPr>
          <w:p w:rsidR="00A10DA8" w:rsidRDefault="00A10DA8">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p>
        </w:tc>
      </w:tr>
      <w:tr w:rsidR="00A10DA8" w:rsidTr="009D2295">
        <w:trPr>
          <w:cantSplit/>
          <w:trHeight w:val="246"/>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Возрастной состав персонала в разрезе групп: до 35 лет, от 35 лет до 50 лет и старше 50 лет</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 %</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45,23</w:t>
            </w:r>
          </w:p>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28,49</w:t>
            </w:r>
          </w:p>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26,28</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41,16</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35,59</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23,25</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30,98</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39,09</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29,92</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-10,18</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3,5</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6,67</w:t>
            </w:r>
          </w:p>
        </w:tc>
      </w:tr>
      <w:tr w:rsidR="00A10DA8" w:rsidTr="009D2295">
        <w:trPr>
          <w:cantSplit/>
          <w:trHeight w:val="246"/>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Структура персонала по образованию: основное/среднее общее, начальное/среднее профессиональное, высшее образование</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 %</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45,75</w:t>
            </w:r>
          </w:p>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19,71</w:t>
            </w:r>
          </w:p>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34,54</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43,91</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21,09</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34,98</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43,13</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21,40</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35,47</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-0,78</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0,31</w:t>
            </w:r>
          </w:p>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0,49</w:t>
            </w:r>
          </w:p>
        </w:tc>
      </w:tr>
      <w:tr w:rsidR="00A10DA8" w:rsidTr="009D2295">
        <w:trPr>
          <w:cantSplit/>
          <w:trHeight w:val="246"/>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работников, имеющих ученую степень</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2</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-100</w:t>
            </w:r>
          </w:p>
        </w:tc>
      </w:tr>
      <w:tr w:rsidR="00A10DA8" w:rsidTr="009D2295">
        <w:trPr>
          <w:cantSplit/>
          <w:trHeight w:val="503"/>
          <w:jc w:val="center"/>
        </w:trPr>
        <w:tc>
          <w:tcPr>
            <w:tcW w:w="4531" w:type="dxa"/>
          </w:tcPr>
          <w:p w:rsidR="00A10DA8" w:rsidRDefault="00CA7E8A">
            <w:pPr>
              <w:widowControl w:val="0"/>
              <w:spacing w:after="0" w:line="240" w:lineRule="auto"/>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Общее количество принятых на работу работников за отчетный период</w:t>
            </w:r>
          </w:p>
        </w:tc>
        <w:tc>
          <w:tcPr>
            <w:tcW w:w="709" w:type="dxa"/>
          </w:tcPr>
          <w:p w:rsidR="00A10DA8" w:rsidRDefault="00CA7E8A">
            <w:pPr>
              <w:tabs>
                <w:tab w:val="left" w:pos="9356"/>
              </w:tabs>
              <w:spacing w:after="0" w:line="240" w:lineRule="auto"/>
              <w:ind w:left="48" w:right="-108" w:hanging="1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чел.</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0,55</w:t>
            </w:r>
          </w:p>
        </w:tc>
        <w:tc>
          <w:tcPr>
            <w:tcW w:w="992" w:type="dxa"/>
            <w:shd w:val="clear" w:color="auto" w:fill="auto"/>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0,35</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0,42</w:t>
            </w:r>
          </w:p>
        </w:tc>
        <w:tc>
          <w:tcPr>
            <w:tcW w:w="992" w:type="dxa"/>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16,7</w:t>
            </w:r>
          </w:p>
        </w:tc>
      </w:tr>
    </w:tbl>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Обучение и развитие персонала, кадровый резерв</w:t>
      </w:r>
    </w:p>
    <w:p w:rsidR="00A10DA8" w:rsidRDefault="00A10DA8">
      <w:pPr>
        <w:spacing w:after="0" w:line="240" w:lineRule="auto"/>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Обучение относится к числу приоритетных направлений Кадровой и социальной политики Общества. Внедрение современных технологий и инновационное развитие Общества повышают требования к уровню квалификации персонала. Система обучения направлена на развитие опережающего обучения персонала, требуемого для работы на вновь вводимых объектах, освоение новой техники, а также на интеграцию научной деятельности в образовательный процесс.</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отчетном году в обучающих мероприятиях с отрывом от работы было проведено 1 633 чел.курса, что составляет 69,4 % от среднесписочной численности Общества, в том числе: производственный персонал 1 523 чел.курса (93,3 %), административно-управленческий персонал 110 чел. Курсов (6,7 %).</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в рамках реализации планов по приведению квалификационного уровня работников Общества в соответствие требованиям, установленным профессиональными стандартами, 6 работников Общества (или 0,4 % от общего числа обученных с отрывом от работы) прошли профессиональное обучение по профилю деятельности.</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Ключевыми центрами дополнительной подготовки работников Общества являются: ЧОУ ДПО «Корпоративный институт энергетики» (г. Ессентуки), Грозненский </w:t>
      </w:r>
      <w:r>
        <w:rPr>
          <w:rFonts w:ascii="Times New Roman" w:eastAsia="Calibri" w:hAnsi="Times New Roman" w:cs="Times New Roman"/>
          <w:sz w:val="24"/>
          <w:szCs w:val="24"/>
        </w:rPr>
        <w:lastRenderedPageBreak/>
        <w:t>государственный нефтяной технический университет им. академика М.Д. Миллионщикова и другие.</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Формирование и развитие кадрового резерва Общества нацелено на обеспечение кадровых потребностей компании в работниках, подготовленных к выполнению обязанностей целевой должности. Деятельность по работе с кадровым резервом осуществляется в соответствии с Положением о формировании управленческого кадрового резерва (утверждено приказом ПАО «Россети» от 31.05.2024 № 240).</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на руководящие должности Общества переведено 34 чел. из числа работников Общества.</w:t>
      </w:r>
    </w:p>
    <w:p w:rsidR="00A10DA8" w:rsidRDefault="00A10DA8">
      <w:pPr>
        <w:spacing w:after="0" w:line="240" w:lineRule="auto"/>
        <w:ind w:firstLine="709"/>
        <w:jc w:val="both"/>
        <w:rPr>
          <w:rFonts w:ascii="Times New Roman" w:eastAsia="Calibri" w:hAnsi="Times New Roman" w:cs="Times New Roman"/>
          <w:sz w:val="24"/>
          <w:szCs w:val="24"/>
        </w:rPr>
      </w:pPr>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918"/>
        <w:gridCol w:w="851"/>
        <w:gridCol w:w="992"/>
        <w:gridCol w:w="992"/>
        <w:gridCol w:w="961"/>
      </w:tblGrid>
      <w:tr w:rsidR="00A10DA8" w:rsidTr="009D2295">
        <w:trPr>
          <w:cantSplit/>
          <w:trHeight w:val="64"/>
          <w:jc w:val="center"/>
        </w:trPr>
        <w:tc>
          <w:tcPr>
            <w:tcW w:w="4248" w:type="dxa"/>
            <w:vMerge w:val="restart"/>
            <w:vAlign w:val="center"/>
          </w:tcPr>
          <w:p w:rsidR="00A10DA8" w:rsidRDefault="00CA7E8A">
            <w:pPr>
              <w:widowControl w:val="0"/>
              <w:spacing w:after="0" w:line="240" w:lineRule="auto"/>
              <w:ind w:left="-113" w:right="-114"/>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Показатели</w:t>
            </w:r>
          </w:p>
        </w:tc>
        <w:tc>
          <w:tcPr>
            <w:tcW w:w="918" w:type="dxa"/>
            <w:vMerge w:val="restart"/>
            <w:vAlign w:val="center"/>
          </w:tcPr>
          <w:p w:rsidR="00A10DA8" w:rsidRDefault="00CA7E8A">
            <w:pPr>
              <w:widowControl w:val="0"/>
              <w:tabs>
                <w:tab w:val="left" w:pos="40"/>
              </w:tabs>
              <w:spacing w:after="0" w:line="240" w:lineRule="auto"/>
              <w:ind w:left="-111" w:right="-112"/>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Ед. изм.</w:t>
            </w:r>
          </w:p>
        </w:tc>
        <w:tc>
          <w:tcPr>
            <w:tcW w:w="3796"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Период</w:t>
            </w:r>
          </w:p>
        </w:tc>
      </w:tr>
      <w:tr w:rsidR="00A10DA8" w:rsidTr="009D2295">
        <w:trPr>
          <w:cantSplit/>
          <w:jc w:val="center"/>
        </w:trPr>
        <w:tc>
          <w:tcPr>
            <w:tcW w:w="4248" w:type="dxa"/>
            <w:vMerge/>
          </w:tcPr>
          <w:p w:rsidR="00A10DA8" w:rsidRDefault="00A10DA8">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18" w:type="dxa"/>
            <w:vMerge/>
          </w:tcPr>
          <w:p w:rsidR="00A10DA8" w:rsidRDefault="00A10DA8">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851" w:type="dxa"/>
            <w:vAlign w:val="center"/>
          </w:tcPr>
          <w:p w:rsidR="00A10DA8" w:rsidRDefault="00CA7E8A">
            <w:pPr>
              <w:widowControl w:val="0"/>
              <w:spacing w:after="0" w:line="240" w:lineRule="auto"/>
              <w:ind w:left="-96" w:right="-122"/>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2022 г.</w:t>
            </w:r>
          </w:p>
          <w:p w:rsidR="00A10DA8" w:rsidRDefault="00CA7E8A">
            <w:pPr>
              <w:widowControl w:val="0"/>
              <w:spacing w:after="0" w:line="240" w:lineRule="auto"/>
              <w:ind w:left="-96" w:right="-122"/>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92" w:type="dxa"/>
            <w:shd w:val="clear" w:color="auto" w:fill="auto"/>
            <w:vAlign w:val="center"/>
          </w:tcPr>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2023 г.</w:t>
            </w:r>
          </w:p>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92" w:type="dxa"/>
            <w:vAlign w:val="center"/>
          </w:tcPr>
          <w:p w:rsidR="00A10DA8" w:rsidRDefault="00CA7E8A">
            <w:pPr>
              <w:widowControl w:val="0"/>
              <w:spacing w:after="0" w:line="240" w:lineRule="auto"/>
              <w:ind w:left="-119"/>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2024 г.</w:t>
            </w:r>
          </w:p>
          <w:p w:rsidR="00A10DA8" w:rsidRDefault="00CA7E8A">
            <w:pPr>
              <w:widowControl w:val="0"/>
              <w:spacing w:after="0" w:line="240" w:lineRule="auto"/>
              <w:ind w:left="-119"/>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факт</w:t>
            </w:r>
          </w:p>
        </w:tc>
        <w:tc>
          <w:tcPr>
            <w:tcW w:w="961" w:type="dxa"/>
            <w:vAlign w:val="center"/>
          </w:tcPr>
          <w:p w:rsidR="00A10DA8" w:rsidRDefault="00CA7E8A">
            <w:pPr>
              <w:widowControl w:val="0"/>
              <w:spacing w:after="0" w:line="240" w:lineRule="auto"/>
              <w:ind w:left="-119"/>
              <w:jc w:val="center"/>
              <w:rPr>
                <w:rFonts w:ascii="Times New Roman" w:eastAsia="Times New Roman" w:hAnsi="Times New Roman" w:cs="Times New Roman"/>
                <w:b/>
                <w:bCs/>
                <w:color w:val="000000"/>
                <w:sz w:val="16"/>
                <w:szCs w:val="20"/>
                <w:lang w:eastAsia="ru-RU"/>
              </w:rPr>
            </w:pPr>
            <w:r>
              <w:rPr>
                <w:rFonts w:ascii="Times New Roman" w:eastAsia="Times New Roman" w:hAnsi="Times New Roman" w:cs="Times New Roman"/>
                <w:b/>
                <w:bCs/>
                <w:color w:val="000000"/>
                <w:sz w:val="16"/>
                <w:szCs w:val="20"/>
                <w:lang w:eastAsia="ru-RU"/>
              </w:rPr>
              <w:t>изменение 2024/2023, %</w:t>
            </w:r>
          </w:p>
        </w:tc>
      </w:tr>
      <w:tr w:rsidR="00A10DA8" w:rsidTr="009D2295">
        <w:trPr>
          <w:cantSplit/>
          <w:jc w:val="center"/>
        </w:trPr>
        <w:tc>
          <w:tcPr>
            <w:tcW w:w="4248" w:type="dxa"/>
          </w:tcPr>
          <w:p w:rsidR="00A10DA8" w:rsidRDefault="00CA7E8A">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918" w:type="dxa"/>
          </w:tcPr>
          <w:p w:rsidR="00A10DA8" w:rsidRDefault="00CA7E8A">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851" w:type="dxa"/>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992" w:type="dxa"/>
            <w:shd w:val="clear" w:color="auto" w:fill="auto"/>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992" w:type="dxa"/>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961" w:type="dxa"/>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A10DA8" w:rsidTr="009D2295">
        <w:trPr>
          <w:cantSplit/>
          <w:jc w:val="center"/>
        </w:trPr>
        <w:tc>
          <w:tcPr>
            <w:tcW w:w="4248" w:type="dxa"/>
            <w:tcBorders>
              <w:top w:val="single" w:sz="4" w:space="0" w:color="auto"/>
              <w:left w:val="single" w:sz="4" w:space="0" w:color="auto"/>
              <w:bottom w:val="single" w:sz="4" w:space="0" w:color="auto"/>
              <w:right w:val="single" w:sz="4" w:space="0" w:color="auto"/>
            </w:tcBorders>
          </w:tcPr>
          <w:p w:rsidR="00A10DA8" w:rsidRDefault="00CA7E8A">
            <w:pPr>
              <w:widowControl w:val="0"/>
              <w:spacing w:after="0"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Численность работников, принявших участие в образовательных программах с отрывом от работы / соотношение к ССЧ</w:t>
            </w:r>
          </w:p>
        </w:tc>
        <w:tc>
          <w:tcPr>
            <w:tcW w:w="918"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tabs>
                <w:tab w:val="left" w:pos="40"/>
              </w:tabs>
              <w:spacing w:after="0" w:line="240" w:lineRule="auto"/>
              <w:ind w:left="2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чел.курсов, % от ССЧ</w:t>
            </w:r>
          </w:p>
        </w:tc>
        <w:tc>
          <w:tcPr>
            <w:tcW w:w="85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622;</w:t>
            </w:r>
          </w:p>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1 781;</w:t>
            </w:r>
          </w:p>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74,5</w:t>
            </w:r>
          </w:p>
        </w:tc>
        <w:tc>
          <w:tcPr>
            <w:tcW w:w="992"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1 633;</w:t>
            </w:r>
          </w:p>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69,4</w:t>
            </w:r>
          </w:p>
        </w:tc>
        <w:tc>
          <w:tcPr>
            <w:tcW w:w="96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-8,3</w:t>
            </w:r>
          </w:p>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-5,1</w:t>
            </w:r>
          </w:p>
        </w:tc>
      </w:tr>
      <w:tr w:rsidR="00A10DA8" w:rsidTr="009D2295">
        <w:trPr>
          <w:cantSplit/>
          <w:jc w:val="center"/>
        </w:trPr>
        <w:tc>
          <w:tcPr>
            <w:tcW w:w="4248" w:type="dxa"/>
            <w:tcBorders>
              <w:top w:val="single" w:sz="4" w:space="0" w:color="auto"/>
              <w:left w:val="single" w:sz="4" w:space="0" w:color="auto"/>
              <w:bottom w:val="single" w:sz="4" w:space="0" w:color="auto"/>
              <w:right w:val="single" w:sz="4" w:space="0" w:color="auto"/>
            </w:tcBorders>
          </w:tcPr>
          <w:p w:rsidR="00A10DA8" w:rsidRDefault="00CA7E8A">
            <w:pPr>
              <w:widowControl w:val="0"/>
              <w:spacing w:after="0"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Численность кадровых резервов</w:t>
            </w:r>
          </w:p>
        </w:tc>
        <w:tc>
          <w:tcPr>
            <w:tcW w:w="918"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tabs>
                <w:tab w:val="left" w:pos="40"/>
              </w:tabs>
              <w:spacing w:after="0" w:line="240" w:lineRule="auto"/>
              <w:ind w:left="2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p>
        </w:tc>
        <w:tc>
          <w:tcPr>
            <w:tcW w:w="85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65</w:t>
            </w:r>
          </w:p>
        </w:tc>
        <w:tc>
          <w:tcPr>
            <w:tcW w:w="992"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65</w:t>
            </w:r>
          </w:p>
        </w:tc>
        <w:tc>
          <w:tcPr>
            <w:tcW w:w="96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r>
      <w:tr w:rsidR="00A10DA8" w:rsidTr="009D2295">
        <w:trPr>
          <w:cantSplit/>
          <w:jc w:val="center"/>
        </w:trPr>
        <w:tc>
          <w:tcPr>
            <w:tcW w:w="4248" w:type="dxa"/>
            <w:tcBorders>
              <w:top w:val="single" w:sz="4" w:space="0" w:color="auto"/>
              <w:left w:val="single" w:sz="4" w:space="0" w:color="auto"/>
              <w:bottom w:val="single" w:sz="4" w:space="0" w:color="auto"/>
              <w:right w:val="single" w:sz="4" w:space="0" w:color="auto"/>
            </w:tcBorders>
          </w:tcPr>
          <w:p w:rsidR="00A10DA8" w:rsidRDefault="00CA7E8A">
            <w:pPr>
              <w:widowControl w:val="0"/>
              <w:spacing w:after="0"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Доля руководящих должностей, укомплектованных внутренними кандидатами, в том числе из числа членов кадровых резервов</w:t>
            </w:r>
          </w:p>
        </w:tc>
        <w:tc>
          <w:tcPr>
            <w:tcW w:w="918"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tabs>
                <w:tab w:val="left" w:pos="40"/>
              </w:tabs>
              <w:spacing w:after="0" w:line="240" w:lineRule="auto"/>
              <w:ind w:left="2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53,5</w:t>
            </w:r>
          </w:p>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24,0</w:t>
            </w:r>
          </w:p>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0,0</w:t>
            </w:r>
          </w:p>
        </w:tc>
        <w:tc>
          <w:tcPr>
            <w:tcW w:w="992"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68,0</w:t>
            </w:r>
          </w:p>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0,0</w:t>
            </w:r>
          </w:p>
        </w:tc>
        <w:tc>
          <w:tcPr>
            <w:tcW w:w="96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44,0</w:t>
            </w:r>
          </w:p>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r>
      <w:tr w:rsidR="00A10DA8" w:rsidTr="009D2295">
        <w:trPr>
          <w:cantSplit/>
          <w:jc w:val="center"/>
        </w:trPr>
        <w:tc>
          <w:tcPr>
            <w:tcW w:w="4248" w:type="dxa"/>
            <w:tcBorders>
              <w:top w:val="single" w:sz="4" w:space="0" w:color="auto"/>
              <w:left w:val="single" w:sz="4" w:space="0" w:color="auto"/>
              <w:bottom w:val="single" w:sz="4" w:space="0" w:color="auto"/>
              <w:right w:val="single" w:sz="4" w:space="0" w:color="auto"/>
            </w:tcBorders>
          </w:tcPr>
          <w:p w:rsidR="00A10DA8" w:rsidRDefault="00CA7E8A">
            <w:pPr>
              <w:widowControl w:val="0"/>
              <w:spacing w:after="0"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Число студентов, прошедших практику в компании</w:t>
            </w:r>
          </w:p>
        </w:tc>
        <w:tc>
          <w:tcPr>
            <w:tcW w:w="918"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tabs>
                <w:tab w:val="left" w:pos="40"/>
              </w:tabs>
              <w:spacing w:after="0" w:line="240" w:lineRule="auto"/>
              <w:ind w:left="2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p>
        </w:tc>
        <w:tc>
          <w:tcPr>
            <w:tcW w:w="85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368</w:t>
            </w:r>
          </w:p>
        </w:tc>
        <w:tc>
          <w:tcPr>
            <w:tcW w:w="992"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451</w:t>
            </w:r>
          </w:p>
        </w:tc>
        <w:tc>
          <w:tcPr>
            <w:tcW w:w="961" w:type="dxa"/>
            <w:tcBorders>
              <w:top w:val="single" w:sz="4" w:space="0" w:color="auto"/>
              <w:left w:val="single" w:sz="4" w:space="0" w:color="auto"/>
              <w:bottom w:val="single" w:sz="4" w:space="0" w:color="auto"/>
              <w:right w:val="single" w:sz="4" w:space="0" w:color="auto"/>
            </w:tcBorders>
            <w:vAlign w:val="center"/>
          </w:tcPr>
          <w:p w:rsidR="00A10DA8" w:rsidRDefault="00CA7E8A">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22,5</w:t>
            </w:r>
          </w:p>
        </w:tc>
      </w:tr>
    </w:tbl>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tabs>
          <w:tab w:val="left" w:pos="993"/>
        </w:tabs>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Работа с молодежью </w:t>
      </w:r>
    </w:p>
    <w:p w:rsidR="00A10DA8" w:rsidRDefault="00A10DA8">
      <w:pPr>
        <w:tabs>
          <w:tab w:val="left" w:pos="993"/>
        </w:tabs>
        <w:spacing w:after="0" w:line="240" w:lineRule="auto"/>
        <w:ind w:firstLine="709"/>
        <w:jc w:val="both"/>
        <w:rPr>
          <w:rFonts w:ascii="Times New Roman" w:eastAsia="Calibri"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Работа с молодежью в регионе ведется по трем ключевым направлениям – ранняя профессиональная ориентация школьников, практико-ориентированная подготовка кадров на базе профильных вузов и ссузов, адаптация и развитие молодых специалистов – работников Общества.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 2018 года в целях развития талантливых школьников, повышения их мотивации к обучению по программам энергетической направленности и последующего трудоустройства, Общество принимает участие в организации и проведении Всероссийской олимпиады школьников группы компаний «Россети». Так, в 2024 году на территории присутствия Общества было организовано проведение Всероссийской олимпиады школьников группы компаний «Россети» в дистанционном формате, в которой приняли участие 9 школьников 9, 10 и 11 классов.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развития кадрового потенциала и партнерства в сфере образования Общество взаимодействует с образовательными учреждениями высшего и среднего профессионального образования, осуществляющих подготовку по востребованным в Обществе направлениям. Партнерами компании в области практикоориентированной подготовки кадров в регионе являются: Грозненский государственный нефтяной технический университет им. академика М.Д. Миллионщикова, Чеченский техникум энергетики.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Студенты профессиональных образовательных учреждений имеют возможность ежегодно проходить на базе Общества ознакомительную, производственную, преддипломную практику. В 2024 году 451 студент высших и средних профессиональных образовательных учреждений прошел практику на базе Общества, 28 выпускников, успешно прошедших практику по полученной специальности, были приняты на работу в Общество.</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целях ускорения процесса обучения молодых специалистов основным профессиональным навыкам, развития у персонала способности самостоятельно, </w:t>
      </w:r>
      <w:r>
        <w:rPr>
          <w:rFonts w:ascii="Times New Roman" w:hAnsi="Times New Roman" w:cs="Times New Roman"/>
          <w:sz w:val="24"/>
          <w:szCs w:val="24"/>
        </w:rPr>
        <w:lastRenderedPageBreak/>
        <w:t>качественно и своевременно выполнять возложенные задачи, в Обществе применяется система наставничества. Для молодых специалистов реализуются программы развития.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Молодые специалисты приняли участие в I Кавказском инвестиционном форуме (далее – КИФ), в Молодежной программе, который состоялся с 15 по 17 июля 2024 года в г. Грозный. Молодежная программа КИФ затронула вопросы карьерного развития, молодежных сообществ и предпринимательства. Эксперты в формате наставничества поделились положительными кейсами реализации кадрового и предпринимательского потенциала на региональном и федеральном уровнях.</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конце 2024 года назначены кураторы для реализации мероприятий, направленных на развитие молодежного сообщества «Движение заряженных людей». Проведена информационная кампания среди молодежи Общества о привлечении молодежи в телеграмм-канал и цифровую коммуникационную платформу.  </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Также молодые специалисты принимали активное участие в челленджах, организованных в телеграмм-канале молодежной платформы.</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Социальная политика Компании</w:t>
      </w:r>
    </w:p>
    <w:p w:rsidR="00A10DA8" w:rsidRDefault="00A10DA8">
      <w:pPr>
        <w:spacing w:after="0" w:line="240" w:lineRule="auto"/>
        <w:ind w:firstLine="709"/>
        <w:jc w:val="both"/>
        <w:rPr>
          <w:rFonts w:ascii="Times New Roman" w:eastAsia="Times New Roman" w:hAnsi="Times New Roman" w:cs="Times New Roman"/>
          <w:sz w:val="24"/>
          <w:szCs w:val="24"/>
        </w:rPr>
      </w:pP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Социальные льготы и гарантии предоставляются работникам Общества в соответствии с Положением об оплате труда АО «Чеченэнерго», утвержденным приказом ПАО «Россети Северный Кавказ» от 24.09.2024 № 288 и предусматривают следующие дополнительные льготы, гарантии и компенсации:</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материальная помощь к юбилейным датам;</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материальная помощь при рождении ребенка и регистрации брака;</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ежемесячная компенсационная выплата женщинам, находящимся в отпуске по уходу за ребенком до трех лет;</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материальная помощь при увольнении в связи с призывом на срочную службу;</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материальная помощь в связи со смертью работников и членов их семей;</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материальная помощь при уходе в очередной отпуск (раз в год);</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материальная помощь при тяжелом заболевании, требующем длительного лечения или хирургического вмешательства; </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дополнительный отпуск без сохранения заработной платы (в связи с вступлением в брак работника или его детей, в связи со смертью родственников или членов семьи, с связи с рождением ребенка, переездом на новое место жительства);</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другие льготы и выплаты.</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Общество оказывает поддержку неработающим пенсионерам. В 2024 году бывшим работникам Общества - участникам ВОВ и труженикам тыла - к 79-летию годовщины Победы в Великой Отечественной войне была оказана материальная помощь. Работникам Общества - участникам боевых действий - была оказана материальная помощь в связи с празднованием Дня защитника Отечества.</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рамках празднования Нового года детям сотрудников в возрасте от 0 до 14 лет были вручены новогодние подарки.</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работников Общества в марте 2024 года приняли участие в конкурсе детского рисунка «Я иду на выборы!», в апреле 2024 года в конкурсе детского рисунка «Красота энергетики», проводимом ПАО «Россети», а в ноябре 2024 года  к профессиональному празднику – Дню энергетика в ПАО «Россети Северный Кавказ» был проведен конкурс детских рисунков «Я рисую этот мир», по итогам которого всем участникам вручены дипломы, а победителям – ценные подарки.</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целях повышения лояльности сотрудников, создания дополнительной мотивации, а также обеспечения оказания работникам качественной медицинской помощи в 2024 году в Обществе заключен договор добровольного медицинского страхования от 19.07.2024 № 0224 LM 0030 с периодом действия до 04.05.2025. Договор предусматривает амбулаторно-поликлиническое, стационарное и санаторно-курортное обслуживание. Каждый сотрудник </w:t>
      </w:r>
      <w:r>
        <w:rPr>
          <w:rFonts w:ascii="Times New Roman" w:eastAsia="Times New Roman" w:hAnsi="Times New Roman" w:cs="Times New Roman"/>
          <w:sz w:val="24"/>
          <w:szCs w:val="24"/>
        </w:rPr>
        <w:lastRenderedPageBreak/>
        <w:t>Общества может воспользоваться медицинской консультацией узких специалистов, пройти лабораторное обследование, получить лечебные и диагностические процедуры, пройти санаторно-курортное лечение. В случае экстренной необходимости энергетики могут пройти стационарное лечение в медицинских учреждениях.</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Помимо договора добровольного медицинского страхования, в целях повышения социальной защищенности работников Обществом заключен договор страхования от несчастных случаев и болезней с АО «АльфаСтрахование» от 12.11.2023 № 7193S/205/00032/23 с периодом действия с 09.11.2023 по 08.11.2026.</w:t>
      </w:r>
    </w:p>
    <w:p w:rsidR="00A10DA8" w:rsidRDefault="00CA7E8A">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2024 году разного уровня наград было удостоено 108 работников Общества, в том числе ведомственными наградами Министерства энергетики Российской Федерации, корпоративными наградами Министерства энергетики Российской Федерации, корпоративными наградами ПАО «Россети», ПАО «Россети Северный Кавказ», а также корпоративными наградами АО «Чеченэнерго»:</w:t>
      </w:r>
    </w:p>
    <w:p w:rsidR="00A10DA8" w:rsidRDefault="00A10DA8">
      <w:pPr>
        <w:spacing w:after="0" w:line="240" w:lineRule="auto"/>
        <w:ind w:firstLine="709"/>
        <w:jc w:val="both"/>
        <w:rPr>
          <w:rFonts w:ascii="Times New Roman" w:eastAsia="Times New Roman" w:hAnsi="Times New Roman" w:cs="Times New Roman"/>
          <w:sz w:val="24"/>
          <w:szCs w:val="24"/>
        </w:rPr>
      </w:pP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3"/>
        <w:gridCol w:w="1062"/>
        <w:gridCol w:w="992"/>
        <w:gridCol w:w="993"/>
      </w:tblGrid>
      <w:tr w:rsidR="00A10DA8" w:rsidTr="009D2295">
        <w:trPr>
          <w:cantSplit/>
          <w:trHeight w:val="58"/>
          <w:jc w:val="center"/>
        </w:trPr>
        <w:tc>
          <w:tcPr>
            <w:tcW w:w="3823" w:type="dxa"/>
            <w:tcMar>
              <w:top w:w="0" w:type="dxa"/>
              <w:left w:w="108" w:type="dxa"/>
              <w:bottom w:w="0" w:type="dxa"/>
              <w:right w:w="108" w:type="dxa"/>
            </w:tcMar>
          </w:tcPr>
          <w:p w:rsidR="00A10DA8" w:rsidRDefault="00CA7E8A">
            <w:pPr>
              <w:spacing w:after="0" w:line="58" w:lineRule="atLeast"/>
              <w:jc w:val="both"/>
              <w:rPr>
                <w:rFonts w:ascii="Times New Roman" w:hAnsi="Times New Roman" w:cs="Times New Roman"/>
                <w:b/>
                <w:sz w:val="20"/>
                <w:szCs w:val="18"/>
                <w:lang w:eastAsia="ru-RU"/>
              </w:rPr>
            </w:pPr>
            <w:r>
              <w:rPr>
                <w:rFonts w:ascii="Times New Roman" w:hAnsi="Times New Roman" w:cs="Times New Roman"/>
                <w:b/>
                <w:sz w:val="20"/>
                <w:szCs w:val="18"/>
                <w:lang w:eastAsia="ru-RU"/>
              </w:rPr>
              <w:t>Вид награды</w:t>
            </w:r>
          </w:p>
        </w:tc>
        <w:tc>
          <w:tcPr>
            <w:tcW w:w="1062" w:type="dxa"/>
          </w:tcPr>
          <w:p w:rsidR="00A10DA8" w:rsidRDefault="00CA7E8A">
            <w:pPr>
              <w:spacing w:after="0" w:line="58" w:lineRule="atLeast"/>
              <w:jc w:val="center"/>
              <w:rPr>
                <w:rFonts w:ascii="Times New Roman" w:hAnsi="Times New Roman" w:cs="Times New Roman"/>
                <w:b/>
                <w:bCs/>
                <w:color w:val="000000"/>
                <w:sz w:val="20"/>
                <w:szCs w:val="18"/>
                <w:lang w:eastAsia="ru-RU"/>
              </w:rPr>
            </w:pPr>
            <w:r>
              <w:rPr>
                <w:rFonts w:ascii="Times New Roman" w:hAnsi="Times New Roman" w:cs="Times New Roman"/>
                <w:b/>
                <w:bCs/>
                <w:color w:val="000000"/>
                <w:sz w:val="20"/>
                <w:szCs w:val="18"/>
                <w:lang w:val="en-US" w:eastAsia="ru-RU"/>
              </w:rPr>
              <w:t xml:space="preserve">2022 </w:t>
            </w:r>
            <w:r>
              <w:rPr>
                <w:rFonts w:ascii="Times New Roman" w:hAnsi="Times New Roman" w:cs="Times New Roman"/>
                <w:b/>
                <w:bCs/>
                <w:color w:val="000000"/>
                <w:sz w:val="20"/>
                <w:szCs w:val="18"/>
                <w:lang w:eastAsia="ru-RU"/>
              </w:rPr>
              <w:t>г.</w:t>
            </w:r>
          </w:p>
        </w:tc>
        <w:tc>
          <w:tcPr>
            <w:tcW w:w="992" w:type="dxa"/>
          </w:tcPr>
          <w:p w:rsidR="00A10DA8" w:rsidRDefault="00CA7E8A">
            <w:pPr>
              <w:spacing w:after="0" w:line="58" w:lineRule="atLeast"/>
              <w:jc w:val="center"/>
              <w:rPr>
                <w:rFonts w:ascii="Times New Roman" w:hAnsi="Times New Roman" w:cs="Times New Roman"/>
                <w:b/>
                <w:bCs/>
                <w:color w:val="000000"/>
                <w:sz w:val="20"/>
                <w:szCs w:val="18"/>
                <w:lang w:eastAsia="ru-RU"/>
              </w:rPr>
            </w:pPr>
            <w:r>
              <w:rPr>
                <w:rFonts w:ascii="Times New Roman" w:hAnsi="Times New Roman" w:cs="Times New Roman"/>
                <w:b/>
                <w:bCs/>
                <w:color w:val="000000"/>
                <w:sz w:val="20"/>
                <w:szCs w:val="18"/>
                <w:lang w:eastAsia="ru-RU"/>
              </w:rPr>
              <w:t>2023 г.</w:t>
            </w:r>
          </w:p>
        </w:tc>
        <w:tc>
          <w:tcPr>
            <w:tcW w:w="993" w:type="dxa"/>
            <w:vAlign w:val="center"/>
          </w:tcPr>
          <w:p w:rsidR="00A10DA8" w:rsidRDefault="00CA7E8A">
            <w:pPr>
              <w:spacing w:after="0" w:line="58" w:lineRule="atLeast"/>
              <w:jc w:val="center"/>
              <w:rPr>
                <w:rFonts w:ascii="Times New Roman" w:hAnsi="Times New Roman" w:cs="Times New Roman"/>
                <w:b/>
                <w:bCs/>
                <w:color w:val="000000"/>
                <w:sz w:val="20"/>
                <w:szCs w:val="18"/>
                <w:lang w:eastAsia="ru-RU"/>
              </w:rPr>
            </w:pPr>
            <w:r>
              <w:rPr>
                <w:rFonts w:ascii="Times New Roman" w:hAnsi="Times New Roman" w:cs="Times New Roman"/>
                <w:b/>
                <w:bCs/>
                <w:color w:val="000000"/>
                <w:sz w:val="20"/>
                <w:szCs w:val="18"/>
                <w:lang w:eastAsia="ru-RU"/>
              </w:rPr>
              <w:t>2024 г.</w:t>
            </w:r>
          </w:p>
        </w:tc>
      </w:tr>
      <w:tr w:rsidR="00A10DA8" w:rsidTr="009D2295">
        <w:trPr>
          <w:cantSplit/>
          <w:trHeight w:val="58"/>
          <w:jc w:val="center"/>
        </w:trPr>
        <w:tc>
          <w:tcPr>
            <w:tcW w:w="3823" w:type="dxa"/>
            <w:tcMar>
              <w:top w:w="0" w:type="dxa"/>
              <w:left w:w="108" w:type="dxa"/>
              <w:bottom w:w="0" w:type="dxa"/>
              <w:right w:w="108" w:type="dxa"/>
            </w:tcMar>
          </w:tcPr>
          <w:p w:rsidR="00A10DA8" w:rsidRDefault="00CA7E8A">
            <w:pPr>
              <w:spacing w:after="0" w:line="58" w:lineRule="atLeast"/>
              <w:jc w:val="both"/>
              <w:rPr>
                <w:rFonts w:ascii="Times New Roman" w:hAnsi="Times New Roman" w:cs="Times New Roman"/>
                <w:sz w:val="20"/>
                <w:szCs w:val="18"/>
                <w:lang w:eastAsia="ru-RU"/>
              </w:rPr>
            </w:pPr>
            <w:r>
              <w:rPr>
                <w:rFonts w:ascii="Times New Roman" w:hAnsi="Times New Roman" w:cs="Times New Roman"/>
                <w:sz w:val="20"/>
                <w:szCs w:val="18"/>
                <w:lang w:eastAsia="ru-RU"/>
              </w:rPr>
              <w:t>Число работников, удостоенных ведомственных наград Минэнерго России</w:t>
            </w:r>
          </w:p>
        </w:tc>
        <w:tc>
          <w:tcPr>
            <w:tcW w:w="106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8</w:t>
            </w:r>
          </w:p>
        </w:tc>
        <w:tc>
          <w:tcPr>
            <w:tcW w:w="99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8</w:t>
            </w:r>
          </w:p>
        </w:tc>
        <w:tc>
          <w:tcPr>
            <w:tcW w:w="993"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hAnsi="Times New Roman" w:cs="Times New Roman"/>
                <w:color w:val="000000"/>
                <w:sz w:val="20"/>
                <w:szCs w:val="18"/>
                <w:lang w:eastAsia="ru-RU"/>
              </w:rPr>
              <w:t>9</w:t>
            </w:r>
          </w:p>
        </w:tc>
      </w:tr>
      <w:tr w:rsidR="00A10DA8" w:rsidTr="009D2295">
        <w:trPr>
          <w:cantSplit/>
          <w:trHeight w:val="58"/>
          <w:jc w:val="center"/>
        </w:trPr>
        <w:tc>
          <w:tcPr>
            <w:tcW w:w="3823" w:type="dxa"/>
            <w:tcMar>
              <w:top w:w="0" w:type="dxa"/>
              <w:left w:w="108" w:type="dxa"/>
              <w:bottom w:w="0" w:type="dxa"/>
              <w:right w:w="108" w:type="dxa"/>
            </w:tcMar>
          </w:tcPr>
          <w:p w:rsidR="00A10DA8" w:rsidRDefault="00CA7E8A">
            <w:pPr>
              <w:spacing w:after="0" w:line="58" w:lineRule="atLeast"/>
              <w:jc w:val="both"/>
              <w:rPr>
                <w:rFonts w:ascii="Times New Roman" w:hAnsi="Times New Roman" w:cs="Times New Roman"/>
                <w:sz w:val="20"/>
                <w:szCs w:val="18"/>
                <w:lang w:eastAsia="ru-RU"/>
              </w:rPr>
            </w:pPr>
            <w:r>
              <w:rPr>
                <w:rFonts w:ascii="Times New Roman" w:hAnsi="Times New Roman" w:cs="Times New Roman"/>
                <w:sz w:val="20"/>
                <w:szCs w:val="18"/>
                <w:lang w:eastAsia="ru-RU"/>
              </w:rPr>
              <w:t xml:space="preserve">Число работников, удостоенных отраслевых наград </w:t>
            </w:r>
          </w:p>
        </w:tc>
        <w:tc>
          <w:tcPr>
            <w:tcW w:w="106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9</w:t>
            </w:r>
          </w:p>
        </w:tc>
        <w:tc>
          <w:tcPr>
            <w:tcW w:w="99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6</w:t>
            </w:r>
          </w:p>
        </w:tc>
        <w:tc>
          <w:tcPr>
            <w:tcW w:w="993"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hAnsi="Times New Roman" w:cs="Times New Roman"/>
                <w:color w:val="000000"/>
                <w:sz w:val="20"/>
                <w:szCs w:val="18"/>
                <w:lang w:eastAsia="ru-RU"/>
              </w:rPr>
              <w:t>7</w:t>
            </w:r>
          </w:p>
        </w:tc>
      </w:tr>
      <w:tr w:rsidR="00A10DA8" w:rsidTr="009D2295">
        <w:trPr>
          <w:cantSplit/>
          <w:trHeight w:val="58"/>
          <w:jc w:val="center"/>
        </w:trPr>
        <w:tc>
          <w:tcPr>
            <w:tcW w:w="3823" w:type="dxa"/>
            <w:tcMar>
              <w:top w:w="0" w:type="dxa"/>
              <w:left w:w="108" w:type="dxa"/>
              <w:bottom w:w="0" w:type="dxa"/>
              <w:right w:w="108" w:type="dxa"/>
            </w:tcMar>
          </w:tcPr>
          <w:p w:rsidR="00A10DA8" w:rsidRDefault="00CA7E8A">
            <w:pPr>
              <w:spacing w:after="0" w:line="58" w:lineRule="atLeast"/>
              <w:jc w:val="both"/>
              <w:rPr>
                <w:rFonts w:ascii="Times New Roman" w:hAnsi="Times New Roman" w:cs="Times New Roman"/>
                <w:sz w:val="20"/>
                <w:szCs w:val="18"/>
                <w:lang w:eastAsia="ru-RU"/>
              </w:rPr>
            </w:pPr>
            <w:r>
              <w:rPr>
                <w:rFonts w:ascii="Times New Roman" w:hAnsi="Times New Roman" w:cs="Times New Roman"/>
                <w:sz w:val="20"/>
                <w:szCs w:val="18"/>
                <w:lang w:eastAsia="ru-RU"/>
              </w:rPr>
              <w:t>Число работников, удостоенных корпоративных наград</w:t>
            </w:r>
          </w:p>
        </w:tc>
        <w:tc>
          <w:tcPr>
            <w:tcW w:w="106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43</w:t>
            </w:r>
          </w:p>
        </w:tc>
        <w:tc>
          <w:tcPr>
            <w:tcW w:w="992" w:type="dxa"/>
            <w:vAlign w:val="center"/>
          </w:tcPr>
          <w:p w:rsidR="00A10DA8" w:rsidRDefault="00CA7E8A">
            <w:pPr>
              <w:spacing w:after="0" w:line="240" w:lineRule="auto"/>
              <w:jc w:val="center"/>
              <w:rPr>
                <w:rFonts w:ascii="Times New Roman" w:hAnsi="Times New Roman" w:cs="Times New Roman"/>
                <w:color w:val="000000"/>
                <w:sz w:val="20"/>
                <w:szCs w:val="18"/>
                <w:lang w:eastAsia="ru-RU"/>
              </w:rPr>
            </w:pPr>
            <w:r>
              <w:rPr>
                <w:rFonts w:ascii="Times New Roman" w:eastAsia="Times New Roman" w:hAnsi="Times New Roman" w:cs="Times New Roman"/>
                <w:bCs/>
                <w:color w:val="000000"/>
                <w:sz w:val="20"/>
                <w:szCs w:val="20"/>
                <w:lang w:eastAsia="ru-RU"/>
              </w:rPr>
              <w:t>25</w:t>
            </w:r>
          </w:p>
        </w:tc>
        <w:tc>
          <w:tcPr>
            <w:tcW w:w="993" w:type="dxa"/>
            <w:vAlign w:val="center"/>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92</w:t>
            </w:r>
          </w:p>
        </w:tc>
      </w:tr>
    </w:tbl>
    <w:p w:rsidR="00A10DA8" w:rsidRDefault="00A10DA8">
      <w:pPr>
        <w:spacing w:after="0" w:line="240" w:lineRule="auto"/>
        <w:ind w:firstLine="709"/>
        <w:jc w:val="both"/>
        <w:rPr>
          <w:rFonts w:ascii="Times New Roman" w:eastAsia="Times New Roman" w:hAnsi="Times New Roman" w:cs="Times New Roman"/>
          <w:sz w:val="24"/>
          <w:szCs w:val="24"/>
        </w:rPr>
      </w:pPr>
    </w:p>
    <w:p w:rsidR="00A10DA8" w:rsidRDefault="00CA7E8A">
      <w:pPr>
        <w:pStyle w:val="1"/>
        <w:ind w:firstLine="709"/>
        <w:rPr>
          <w:b w:val="0"/>
        </w:rPr>
      </w:pPr>
      <w:bookmarkStart w:id="30" w:name="_Toc195780426"/>
      <w:r>
        <w:t>Управление охраной труда и промышленной безопасностью</w:t>
      </w:r>
      <w:bookmarkEnd w:id="30"/>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Охрана труда и промышленная безопасность</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повышения уровня производственной дисциплины, решения проблем электробезопасности, а также внедрения новых принципов эффективной системы управления охраной труда в Обществе реализуется концепция «нулевого травматизма» (приказ от 08.02.2024 № 35).</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Разработана и утверждена программа мероприятий (дорожная карта) по внедрению данной концепции.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Мероприятия дорожной карты, запланированные на 2024 год, выполнены в полном объеме:</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проведены совещания Общества в формате стратегических сессий с привлечением работников филиала ПАО «Россети» - ЦТН;</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организовано посещение техническими руководителями Общества подразделений и встреч с коллективами работников в филиалах в рамках реализации концепции «нулевого травматизма»;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обеспечивается распространение и пропаганда «ключевых правил безопасности» - правил наивысшей значимости, определяющих основную модель поведения работников при выполнении работ, связанных с высоким риском травматизма, четкое следование данным правилам;</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реализовывается План мероприятий по разработке и внедрению элементов системы материальной и нематериальной мотивации работников;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обеспечивается обучение тренеров по охране труда из числа работников компании в рамках реализации концепции «нулевого травматизма»;</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прочие мероприятия.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На балансе АО «Чеченэнерго» зарегистрировано 15 опасных производственных объектов (далее – ОПО) – транспортных площадок. Количество эксплуатируемых технических устройств на ОПО – 88 единиц техники.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Требование обязательного страхования ответственности организации, эксплуатирующей ОПО выполнено - заключен договор № 29 от 28.05.2024 со сроком действия до 27.05.2025 с АО «АльфаСтрахование».</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течение 2024 года в АО «Чеченэнерго» проведено:</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- 26 экспертиз промышленной безопасности;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- 62 технических освидетельствования технических устройств, применяемых на опасных производственных объектах;</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- 16 подготовок и аттестаций производственного персонала, эксплуатирующего ОПО.</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части обеспечения готовности к действиям по локализации и ликвидации последствий аварии на ОПО, эксплуатируемых в Обществе – заключен договор с АО «Центр аварийно-спасательных и экологических операций» Чеченского территориального подразделения Северо-Кавказского центра «Экоспас» на обслуживание ОПО по ликвидации чрезвычайных ситуаций от 29.12.2023 № 171.</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Организовано расследование и учет аварий, инцидентов на опасных производственных объектах, эксплуатируемых в АО «Чеченэнерго». Порядок расследования определен Положением об организации производственного контроля за соблюдением требований промышленной безопасности на опасных производственных объектах ПАО «Россети Северный Кавказ» и АО «Чеченэнерго», утвержденным приказом ПАО «Россети Северный Кавказ» от 27.03.2023 №104.</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Охрана окружающей среды</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Согласно категорийности объектов негативного воздействия на окружающую среду (объекты НВОС) производственным подразделениям АО «Чеченэнерго» присвоена III категория. В соответствии с требованиями к объектам НВОС III категории, в части исполнения требований природоохранного законодательства, в АО «Чеченэнерго» разработана и своевременно актуализируется следующая документация: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Инвентаризация источников выбросов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Проекты нормативов допустимых выбросов (расчет для загрязняющих веществ I, II класса опасности)</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Программы производственного экологического контроля</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Паспорта отходов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Журналы движения отходов</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t>Проекты санитарно-защитных зон</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t>Решения об установлении санитарно-защитных зон.</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Осуществляется сдача годовых отчетных форм в уполномоченные государственные органы:</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2 ТП - отходы</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4 – ОС</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Декларация о плате за негативное воздействие на окружающую среду</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Отчет об организации и о результатах осуществления производственного экологического контроля.</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Основными источниками загрязнения атмосферного воздуха в филиалах АО «Чеченэнерго» являются подразделения гаража, а именно: мастерские, ремонтные боксы, стоянки автотранспорта. В соответствии с программами производственного экологического контроля производятся измерения загрязняющих веществ в атмосферном воздухе от источника загрязнения. Превышений предельно допустимых концентраций не зарегистрировано. Поскольку концентрации загрязняющих веществ, создаваемые выбросами объектов, на границах ближайших жилых зон и прилегающих территориях не превышают установленные нормативы загрязнения атмосферного воздуха на существующее положение, то мероприятий по уменьшению выбросов загрязняющих </w:t>
      </w:r>
      <w:r>
        <w:rPr>
          <w:rFonts w:ascii="Times New Roman" w:hAnsi="Times New Roman" w:cs="Times New Roman"/>
          <w:sz w:val="24"/>
          <w:szCs w:val="24"/>
        </w:rPr>
        <w:lastRenderedPageBreak/>
        <w:t xml:space="preserve">веществ в период неблагоприятных метеорологических условиях не предусмотрено.  Установка шумозащитных экранов не требуется. </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АО «Чеченэнерго» не имеет Лицензии на осуществление деятельности по обращению с отходами I-IV классов опасности. В этой связи для утилизации отходов III-IV классов опасности заключены договора с организациями, имеющими Лицензии на обращение с отходами. </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Накопление отходов осуществляется в оборудованных местах, соответствующих требованиям законодательства в области санитарно-эпидемиологического благополучия населения с соблюдением Инструкций по организации накопления. Накопление твердых коммунальных отходов осуществляется в соответствии с правилами обращения с твердыми коммунальными отходами, утвержденными Правительством РФ.</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2024 году отмечается уменьшение объёма образования отходов по отношению к показателям 2023 года по фактическому образованию и передаче отходов I-V классов опасности специализированным предприятиям. Произошло снижение отходов, переданных на утилизацию и обезвреживание лицензированным организациям, на 70,7 % по отношению к показателям 2023 года, в  связи с тем, что большая часть автопокрышек утилизирована в 2023 году за счет бюджета, заложенного на 2023 год, а  оставшаяся часть утилизирована в 2024 году, за счет бюджета на 2024 год. </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Все трансформаторные подстанции ограждены изгородями и снабжены защитными кожухами, что предотвращает проникновение животных на территорию подстанции и попадание их в узлы и механизмы.</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Расходы на охрану окружающей среды в 2024 году составили 4 886,60 тыс. руб.</w:t>
      </w:r>
    </w:p>
    <w:p w:rsidR="00A10DA8" w:rsidRDefault="00CA7E8A" w:rsidP="00DB5C3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Решением Совета директоров АО «Чеченэнерго» от 02.04.2024 (протокол от 02.04.2024 № 328) утверждена в качестве внутреннего документа «Экологическая политика АО «Чеченэнерго».</w:t>
      </w:r>
    </w:p>
    <w:p w:rsidR="00A10DA8" w:rsidRDefault="00A10DA8">
      <w:pPr>
        <w:spacing w:after="0" w:line="240" w:lineRule="auto"/>
        <w:jc w:val="both"/>
        <w:rPr>
          <w:rFonts w:ascii="Times New Roman" w:hAnsi="Times New Roman" w:cs="Times New Roman"/>
          <w:sz w:val="24"/>
          <w:szCs w:val="24"/>
        </w:rPr>
      </w:pPr>
    </w:p>
    <w:p w:rsidR="00A10DA8" w:rsidRDefault="00CA7E8A">
      <w:pPr>
        <w:pStyle w:val="1"/>
        <w:ind w:firstLine="709"/>
        <w:rPr>
          <w:b w:val="0"/>
        </w:rPr>
      </w:pPr>
      <w:bookmarkStart w:id="31" w:name="_Toc195780427"/>
      <w:r>
        <w:t>Закупочная деятельность</w:t>
      </w:r>
      <w:bookmarkEnd w:id="31"/>
    </w:p>
    <w:p w:rsidR="00A10DA8" w:rsidRDefault="00A10DA8">
      <w:pPr>
        <w:tabs>
          <w:tab w:val="left" w:pos="993"/>
        </w:tabs>
        <w:spacing w:after="0" w:line="240" w:lineRule="auto"/>
        <w:ind w:firstLine="709"/>
        <w:jc w:val="both"/>
        <w:rPr>
          <w:rFonts w:ascii="Times New Roman" w:hAnsi="Times New Roman" w:cs="Times New Roman"/>
          <w:b/>
          <w:sz w:val="24"/>
          <w:szCs w:val="24"/>
        </w:rPr>
      </w:pPr>
    </w:p>
    <w:p w:rsidR="001245C7" w:rsidRDefault="001245C7" w:rsidP="001245C7">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Закупочная деятельность АО «Чеченэнерго» регулируется положениями Единого стандарта закупок Публичного акционерного общества «Федеральная сетевая компания – Россети», утвержденного протоколом Совета директоров Публичного акционерного общества «Федеральная сетевая компания – Россети» от 30.12.2022 № 604 (в редакции от 16.12.2024 № 671) (присоединение к Единому стандарту закупок ПАО «Россети» - протокол Совета директоров АО «Чеченэнерго» от 10.01.2025 № 350</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Процедурная регламентация закупок применяется в целях обеспечения целевого и эффективного расходования денежных средств Общества, а также получения экономически обоснованных затрат и предотвращения возможных злоупотреблений со стороны Заказчика (Организатора закупки).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Основными принципами построения закупочной деятельности являются:</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a) своевременное (долгосрочное и краткосрочное) планирование закупочной деятельности, обеспечение возможности оперативного принятия решений о корректировке параметров закупок (когда это необходимо);</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б) равноправие, справедливость, отсутствие дискриминации и необоснованных ограничений конкуренции по отношению к участникам закупки;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в) 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заказчика;</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г) отсутствие ограничения допуска к участию в закупке путем установления неизмеряемых требований к участникам закупки;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д) обеспечение открытости закупочной деятельности;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и) честный и разумный выбор наиболее предпочтительных предложений при комплексном анализе выгод и издержек (прежде всего цены и качества продукции);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й) соблюдение норм действующего законодательства, регламентирующего организацию закупочной деятельности.</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Закупочная процедура может иметь несколько способов проведения:</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Конкурс. Данный вид процедуры проводится для привлечения заявок и выбора наиболее подходящего пути удовлетворения потребностей Заказчика.</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Аукцион. </w:t>
      </w:r>
      <w:r>
        <w:rPr>
          <w:rFonts w:ascii="Times New Roman" w:eastAsia="Times New Roman" w:hAnsi="Times New Roman" w:cs="Times New Roman"/>
          <w:sz w:val="24"/>
          <w:szCs w:val="24"/>
          <w:lang w:eastAsia="ru-RU"/>
        </w:rPr>
        <w:tab/>
        <w:t>Аукцион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ЦЗО ПАО «Россети» вправе определить перечень продукции, закупаемой только по результатам проведения аукциона.</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Запрос предложений. Проводится в случае, если отсутствует необходимость немедленного проведения процедуры закупки, как у единственного источника и сложность продукции или условий ее поставки не допускают проведения аукциона, запроса цен; в случае, если Заказчику необходима возможность отказа от закупки или заключения договора и, в случае, если начальная (максимальная) цена договора не превышает 10 млн руб. (с налогом на добавленную стоимость)</w:t>
      </w:r>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Запрос котировок. Применение запроса цен может осуществляться при закупках простой продукции, для которой существует функционирующий рынок, единственным критерием является цена и при условии, что цена договора не превышает для открытого запроса цен 5 млн руб. (с налогом на добавленную стоимость).</w:t>
      </w:r>
    </w:p>
    <w:p w:rsidR="001245C7" w:rsidRDefault="001245C7" w:rsidP="001245C7">
      <w:pPr>
        <w:tabs>
          <w:tab w:val="num" w:pos="851"/>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Сравнение цен проводится при наличии однозначно сформулированных технических требований к закупаемой продукции, в том числе, когда определены функциональные характеристики (потребительские свойства) товара, размеры, упаковка, отгрузка товара, установлены конкретные требования к результатам работы (услуги) в форме технического задания, нет времени для проведения иной конкурентной закупки; (</w:t>
      </w:r>
      <w:bookmarkStart w:id="32" w:name="_Ref310503987"/>
      <w:r>
        <w:rPr>
          <w:rFonts w:ascii="Times New Roman" w:eastAsia="Times New Roman" w:hAnsi="Times New Roman" w:cs="Times New Roman"/>
          <w:sz w:val="24"/>
          <w:szCs w:val="24"/>
          <w:lang w:eastAsia="ru-RU"/>
        </w:rPr>
        <w:t xml:space="preserve">закупки способом сравнения цен осуществляются при сумме до 100 000 руб. с НДС.) </w:t>
      </w:r>
      <w:bookmarkEnd w:id="32"/>
    </w:p>
    <w:p w:rsidR="001245C7" w:rsidRDefault="001245C7" w:rsidP="001245C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Закупка у единственного поставщика</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Используется в случае, если необходима закупка уникальных товаров;  если продукция может быть получена только от одного поставщика и отсутствует ее равноценная замена; в случае, если возникла необходимость дополнительной закупки, совершаемой путем пролонгации договоров,  в случае, когда договор заключался по результатам конкурентной закупки и возможность пролонгации была предусмотрена в документации о закупке;  в случае, если по решению ЦЗО Заказчика закупка может производиться путем участия Заказчика в аукционах, конкурсах или иных процедурах, организуемых продавцами продукции.</w:t>
      </w:r>
    </w:p>
    <w:p w:rsidR="001245C7" w:rsidRDefault="001245C7" w:rsidP="001245C7">
      <w:pPr>
        <w:tabs>
          <w:tab w:val="num" w:pos="851"/>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ab/>
      </w:r>
      <w:r>
        <w:rPr>
          <w:rFonts w:ascii="Times New Roman" w:eastAsia="Times New Roman" w:hAnsi="Times New Roman" w:cs="Times New Roman"/>
          <w:sz w:val="24"/>
          <w:szCs w:val="24"/>
          <w:lang w:eastAsia="ru-RU"/>
        </w:rPr>
        <w:t xml:space="preserve"> Согласно п.3 Единого стандарта закупок информация, о проводимых регламентированных процедурах и отчет об их итогах размещаются  на официальном сайте </w:t>
      </w:r>
      <w:hyperlink r:id="rId37" w:tooltip="http://www.zakupki.gov.ru" w:history="1">
        <w:r>
          <w:rPr>
            <w:rFonts w:ascii="Times New Roman" w:eastAsia="Times New Roman" w:hAnsi="Times New Roman" w:cs="Times New Roman"/>
            <w:color w:val="0000FF"/>
            <w:sz w:val="24"/>
            <w:szCs w:val="24"/>
            <w:u w:val="single"/>
            <w:lang w:eastAsia="ru-RU"/>
          </w:rPr>
          <w:t>www.zakupki.gov.ru</w:t>
        </w:r>
      </w:hyperlink>
      <w:r>
        <w:rPr>
          <w:rFonts w:ascii="Times New Roman" w:eastAsia="Times New Roman" w:hAnsi="Times New Roman" w:cs="Times New Roman"/>
          <w:sz w:val="24"/>
          <w:szCs w:val="24"/>
          <w:lang w:eastAsia="ru-RU"/>
        </w:rPr>
        <w:t>.</w:t>
      </w:r>
    </w:p>
    <w:p w:rsidR="00FD1FBB" w:rsidRDefault="00FD1FBB" w:rsidP="00FD1FBB">
      <w:pPr>
        <w:tabs>
          <w:tab w:val="num" w:pos="851"/>
        </w:tabs>
        <w:spacing w:after="0" w:line="240" w:lineRule="auto"/>
        <w:jc w:val="both"/>
        <w:rPr>
          <w:rFonts w:ascii="Times New Roman" w:eastAsia="Times New Roman" w:hAnsi="Times New Roman" w:cs="Times New Roman"/>
          <w:sz w:val="24"/>
          <w:szCs w:val="24"/>
          <w:lang w:eastAsia="ru-RU"/>
        </w:rPr>
      </w:pPr>
    </w:p>
    <w:p w:rsidR="001245C7" w:rsidRDefault="001245C7" w:rsidP="001245C7">
      <w:pPr>
        <w:spacing w:after="0" w:line="240" w:lineRule="auto"/>
        <w:ind w:firstLine="709"/>
        <w:jc w:val="both"/>
        <w:rPr>
          <w:rFonts w:ascii="Times New Roman" w:hAnsi="Times New Roman" w:cs="Times New Roman"/>
          <w:b/>
          <w:sz w:val="32"/>
          <w:szCs w:val="32"/>
        </w:rPr>
      </w:pPr>
      <w:r>
        <w:rPr>
          <w:rFonts w:ascii="Times New Roman" w:eastAsia="Times New Roman" w:hAnsi="Times New Roman" w:cs="Times New Roman"/>
          <w:b/>
          <w:sz w:val="24"/>
          <w:szCs w:val="24"/>
        </w:rPr>
        <w:t>По факту за период было проведено 160 закупок на общую сумму 6 620 328,55 тыс. руб. с НДС.</w:t>
      </w:r>
    </w:p>
    <w:p w:rsidR="001245C7" w:rsidRDefault="001245C7" w:rsidP="001245C7">
      <w:pPr>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В том числе по способам закупок:</w:t>
      </w:r>
    </w:p>
    <w:p w:rsidR="001245C7" w:rsidRDefault="001245C7" w:rsidP="001245C7">
      <w:pPr>
        <w:spacing w:after="0" w:line="240" w:lineRule="auto"/>
        <w:ind w:firstLine="709"/>
        <w:jc w:val="both"/>
        <w:rPr>
          <w:rFonts w:ascii="Times New Roman" w:hAnsi="Times New Roman" w:cs="Times New Roman"/>
          <w:b/>
          <w:bCs/>
          <w:sz w:val="32"/>
          <w:szCs w:val="32"/>
        </w:rPr>
      </w:pPr>
      <w:r>
        <w:rPr>
          <w:rFonts w:ascii="Times New Roman" w:eastAsia="Times New Roman" w:hAnsi="Times New Roman" w:cs="Times New Roman"/>
          <w:sz w:val="24"/>
          <w:szCs w:val="24"/>
        </w:rPr>
        <w:t>29 шт. закупок (конкурс в электронной форме) на сумму 1 026 009,52 тыс. руб. с НДС (10,8 % от общего количества закупок, 35,3 %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2 шт. закупки (запрос предложений в электронной форме) на сумму 7 826,06 тыс. руб. с НДС (5,4 % от общего количества закупок, 2,1 %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13 шт. закупок (запрос котировок в электронной форме) на сумму 27 371,34 тыс. руб. с НДС (1,9 % от общего количества закупок, 0,4 %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lastRenderedPageBreak/>
        <w:t>11</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шт</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закупок у единственного поставщика на сумму 63 831,28 тыс. руб. без НДС (13 % от общего количества закупок, 8,90 </w:t>
      </w:r>
      <w:r w:rsidRPr="001245C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79 шт. закупок у единственного участника по результатам несостоявшихся открытых процедур 5 488 407,01 тыс. руб. с НДС (49,38 % от общего количества закупок, 82,90 %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highlight w:val="white"/>
        </w:rPr>
      </w:pPr>
      <w:r>
        <w:rPr>
          <w:rFonts w:ascii="Times New Roman" w:eastAsia="Times New Roman" w:hAnsi="Times New Roman" w:cs="Times New Roman"/>
          <w:sz w:val="24"/>
          <w:szCs w:val="24"/>
          <w:highlight w:val="white"/>
        </w:rPr>
        <w:t>из них процедуры только с одним участником (одна поданная заявка) 4 130 500,00 тыс. руб. с НДС (75,26 % от объема закупок по результатам несостоявшихся открытых процедур в стоимостном выражении);</w:t>
      </w:r>
    </w:p>
    <w:p w:rsidR="001245C7" w:rsidRDefault="001245C7" w:rsidP="001245C7">
      <w:pPr>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из них процедуры только с одним квалифицированным участником (одна заявка удовлетворят условиям ТЗ, заявки других участников отклонены) 1 357 907,01 тыс. руб. с НДС (24,74 % от объема закупок по результатам несостоявшихся открытых процедур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highlight w:val="white"/>
        </w:rPr>
      </w:pPr>
      <w:r>
        <w:rPr>
          <w:rFonts w:ascii="Times New Roman" w:eastAsia="Times New Roman" w:hAnsi="Times New Roman" w:cs="Times New Roman"/>
          <w:b/>
          <w:sz w:val="24"/>
          <w:szCs w:val="24"/>
          <w:highlight w:val="white"/>
        </w:rPr>
        <w:t>В том числе по видам деятельности: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Новое строительство и расширение электросетевых объектов</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 xml:space="preserve"> «Реконструкция и техническое перевооружение электросетевых объектов» – 28 шт. закупок на сумму 5 732 126,82 тыс. руб. с НДС (27,9</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количества закупок, 20,9</w:t>
      </w:r>
      <w:r w:rsidR="002459A9">
        <w:rPr>
          <w:rFonts w:ascii="Times New Roman" w:eastAsia="Times New Roman" w:hAnsi="Times New Roman" w:cs="Times New Roman"/>
          <w:sz w:val="24"/>
          <w:szCs w:val="24"/>
        </w:rPr>
        <w:t> </w:t>
      </w:r>
      <w:r>
        <w:rPr>
          <w:rFonts w:ascii="Times New Roman" w:eastAsia="Times New Roman" w:hAnsi="Times New Roman" w:cs="Times New Roman"/>
          <w:sz w:val="24"/>
          <w:szCs w:val="24"/>
        </w:rPr>
        <w:t>%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«Энергоремонтное (ремонтное) производство, техническое обслуживание» – 68 шт. закупок на сумму 621 653,93 тыс. руб. с НДС (15,5</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количества закупок, 11,8</w:t>
      </w:r>
      <w:r w:rsidR="002459A9">
        <w:rPr>
          <w:rFonts w:ascii="Times New Roman" w:eastAsia="Times New Roman" w:hAnsi="Times New Roman" w:cs="Times New Roman"/>
          <w:sz w:val="24"/>
          <w:szCs w:val="24"/>
        </w:rPr>
        <w:t> </w:t>
      </w:r>
      <w:r>
        <w:rPr>
          <w:rFonts w:ascii="Times New Roman" w:eastAsia="Times New Roman" w:hAnsi="Times New Roman" w:cs="Times New Roman"/>
          <w:sz w:val="24"/>
          <w:szCs w:val="24"/>
        </w:rPr>
        <w:t>%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«ИТ-закупки» – 2 шт. закупки на сумму 7 259,40 тыс. руб. с НДС (3,7</w:t>
      </w:r>
      <w:r w:rsidR="002459A9">
        <w:rPr>
          <w:rFonts w:ascii="Times New Roman" w:eastAsia="Times New Roman" w:hAnsi="Times New Roman" w:cs="Times New Roman"/>
          <w:sz w:val="24"/>
          <w:szCs w:val="24"/>
        </w:rPr>
        <w:t> </w:t>
      </w:r>
      <w:r>
        <w:rPr>
          <w:rFonts w:ascii="Times New Roman" w:eastAsia="Times New Roman" w:hAnsi="Times New Roman" w:cs="Times New Roman"/>
          <w:sz w:val="24"/>
          <w:szCs w:val="24"/>
        </w:rPr>
        <w:t>% от общего количества закупок, 3,1</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 xml:space="preserve"> «Прочие закупки» – 62 шт. закупки на сумму 259 288,42 тыс. руб. с НДС (33,9</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количества закупок, 50,6</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объема закупок в стоимостном выражении).</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26 шт. закупок способом Сравнение цен на сумму 6 883,34 тыс. рублей с НДС с использованием электронной торговой системы.</w:t>
      </w:r>
    </w:p>
    <w:p w:rsidR="001245C7" w:rsidRDefault="001245C7" w:rsidP="001245C7">
      <w:pPr>
        <w:spacing w:after="0" w:line="240" w:lineRule="auto"/>
        <w:ind w:firstLine="709"/>
        <w:jc w:val="both"/>
        <w:rPr>
          <w:rFonts w:ascii="Times New Roman" w:hAnsi="Times New Roman" w:cs="Times New Roman"/>
          <w:sz w:val="32"/>
          <w:szCs w:val="32"/>
        </w:rPr>
      </w:pPr>
      <w:r>
        <w:rPr>
          <w:rFonts w:ascii="Times New Roman" w:eastAsia="Times New Roman" w:hAnsi="Times New Roman" w:cs="Times New Roman"/>
          <w:sz w:val="24"/>
          <w:szCs w:val="24"/>
        </w:rPr>
        <w:t>149 закупок на сумму 6 554 934,91 тыс. руб. без НДС (88,00 % от общего количества закупок, 91,10</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от общего объема закупок (без учета закупок у ЕИ) в стоимостном выражении.</w:t>
      </w:r>
    </w:p>
    <w:p w:rsidR="001245C7" w:rsidRDefault="001245C7" w:rsidP="001245C7">
      <w:pPr>
        <w:spacing w:after="0" w:line="240" w:lineRule="auto"/>
        <w:ind w:firstLine="540"/>
        <w:jc w:val="both"/>
        <w:rPr>
          <w:rFonts w:ascii="Times New Roman" w:hAnsi="Times New Roman" w:cs="Times New Roman"/>
          <w:sz w:val="32"/>
          <w:szCs w:val="32"/>
        </w:rPr>
      </w:pPr>
      <w:r>
        <w:rPr>
          <w:rFonts w:ascii="Times New Roman" w:eastAsia="Times New Roman" w:hAnsi="Times New Roman" w:cs="Times New Roman"/>
          <w:sz w:val="24"/>
          <w:szCs w:val="24"/>
        </w:rPr>
        <w:t>Экономический эффект по итогам проведения закупочных процедур за период составил 11 322,28 тыс. руб. с НДС или 0,02</w:t>
      </w:r>
      <w:r w:rsidR="00245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от плановой объявленной стоимости закупок. </w:t>
      </w:r>
    </w:p>
    <w:p w:rsidR="001245C7" w:rsidRDefault="001245C7" w:rsidP="001245C7">
      <w:pPr>
        <w:spacing w:after="0" w:line="240" w:lineRule="auto"/>
        <w:jc w:val="both"/>
        <w:rPr>
          <w:rFonts w:ascii="Times New Roman" w:eastAsia="Times New Roman" w:hAnsi="Times New Roman" w:cs="Times New Roman"/>
          <w:b/>
          <w:sz w:val="24"/>
          <w:szCs w:val="24"/>
        </w:rPr>
      </w:pPr>
    </w:p>
    <w:p w:rsidR="001245C7" w:rsidRDefault="001245C7" w:rsidP="001245C7">
      <w:pPr>
        <w:spacing w:after="0" w:line="240" w:lineRule="auto"/>
        <w:jc w:val="both"/>
        <w:rPr>
          <w:rFonts w:ascii="Times New Roman" w:hAnsi="Times New Roman" w:cs="Times New Roman"/>
          <w:b/>
          <w:sz w:val="32"/>
          <w:szCs w:val="32"/>
        </w:rPr>
      </w:pPr>
      <w:r>
        <w:rPr>
          <w:rFonts w:ascii="Times New Roman" w:eastAsia="Times New Roman" w:hAnsi="Times New Roman" w:cs="Times New Roman"/>
          <w:b/>
          <w:sz w:val="24"/>
          <w:szCs w:val="24"/>
        </w:rPr>
        <w:t>Сведения о количестве и общей стоимости договоров, заключенных по результатам закупок у субъектов МСП за отчетный период:</w:t>
      </w:r>
    </w:p>
    <w:tbl>
      <w:tblPr>
        <w:tblW w:w="9796" w:type="dxa"/>
        <w:tblInd w:w="-152" w:type="dxa"/>
        <w:tblBorders>
          <w:top w:val="single" w:sz="8" w:space="0" w:color="1A2D5F"/>
          <w:left w:val="single" w:sz="8" w:space="0" w:color="1A2D5F"/>
          <w:bottom w:val="single" w:sz="8" w:space="0" w:color="1A2D5F"/>
          <w:right w:val="single" w:sz="8" w:space="0" w:color="1A2D5F"/>
          <w:insideH w:val="single" w:sz="8" w:space="0" w:color="1A2D5F"/>
          <w:insideV w:val="single" w:sz="8" w:space="0" w:color="1A2D5F"/>
        </w:tblBorders>
        <w:tblLayout w:type="fixed"/>
        <w:tblCellMar>
          <w:left w:w="0" w:type="dxa"/>
          <w:right w:w="0" w:type="dxa"/>
        </w:tblCellMar>
        <w:tblLook w:val="0600" w:firstRow="0" w:lastRow="0" w:firstColumn="0" w:lastColumn="0" w:noHBand="1" w:noVBand="1"/>
      </w:tblPr>
      <w:tblGrid>
        <w:gridCol w:w="2410"/>
        <w:gridCol w:w="1433"/>
        <w:gridCol w:w="1843"/>
        <w:gridCol w:w="2268"/>
        <w:gridCol w:w="1842"/>
      </w:tblGrid>
      <w:tr w:rsidR="001245C7" w:rsidTr="009D2295">
        <w:trPr>
          <w:trHeight w:val="1341"/>
        </w:trPr>
        <w:tc>
          <w:tcPr>
            <w:tcW w:w="2410"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Название</w:t>
            </w:r>
          </w:p>
        </w:tc>
        <w:tc>
          <w:tcPr>
            <w:tcW w:w="143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Количество договоров</w:t>
            </w:r>
          </w:p>
        </w:tc>
        <w:tc>
          <w:tcPr>
            <w:tcW w:w="184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Стоимость договоров (тыс. руб. с НДС)</w:t>
            </w:r>
          </w:p>
        </w:tc>
        <w:tc>
          <w:tcPr>
            <w:tcW w:w="2268"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Стоимостной объем оплаты в рамках заключенных договоров (тыс. руб. с НДС)*</w:t>
            </w:r>
          </w:p>
        </w:tc>
        <w:tc>
          <w:tcPr>
            <w:tcW w:w="1842"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Доля от заключенных и оплаченных договоров*, %</w:t>
            </w:r>
          </w:p>
        </w:tc>
      </w:tr>
      <w:tr w:rsidR="001245C7" w:rsidTr="009D2295">
        <w:trPr>
          <w:trHeight w:val="302"/>
        </w:trPr>
        <w:tc>
          <w:tcPr>
            <w:tcW w:w="2410" w:type="dxa"/>
            <w:tcMar>
              <w:top w:w="15" w:type="dxa"/>
              <w:left w:w="15" w:type="dxa"/>
              <w:bottom w:w="0" w:type="dxa"/>
              <w:right w:w="15" w:type="dxa"/>
            </w:tcMar>
            <w:vAlign w:val="center"/>
          </w:tcPr>
          <w:p w:rsidR="001245C7" w:rsidRDefault="001245C7" w:rsidP="001F073E">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Закупки у субъектов МСП*</w:t>
            </w:r>
          </w:p>
        </w:tc>
        <w:tc>
          <w:tcPr>
            <w:tcW w:w="143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59</w:t>
            </w:r>
          </w:p>
        </w:tc>
        <w:tc>
          <w:tcPr>
            <w:tcW w:w="184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2</w:t>
            </w:r>
            <w:r w:rsidR="002459A9">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185</w:t>
            </w:r>
            <w:r w:rsidR="002459A9">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060,24</w:t>
            </w:r>
          </w:p>
        </w:tc>
        <w:tc>
          <w:tcPr>
            <w:tcW w:w="2268"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12</w:t>
            </w:r>
            <w:r w:rsidR="002459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327</w:t>
            </w:r>
            <w:r w:rsidR="002459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742,62</w:t>
            </w:r>
          </w:p>
        </w:tc>
        <w:tc>
          <w:tcPr>
            <w:tcW w:w="1842" w:type="dxa"/>
            <w:tcMar>
              <w:top w:w="15" w:type="dxa"/>
              <w:left w:w="15" w:type="dxa"/>
              <w:bottom w:w="0" w:type="dxa"/>
              <w:right w:w="15" w:type="dxa"/>
            </w:tcMar>
            <w:vAlign w:val="center"/>
          </w:tcPr>
          <w:p w:rsidR="001245C7" w:rsidRDefault="001245C7" w:rsidP="002459A9">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72,21</w:t>
            </w:r>
          </w:p>
        </w:tc>
      </w:tr>
      <w:tr w:rsidR="001245C7" w:rsidTr="009D2295">
        <w:trPr>
          <w:trHeight w:val="536"/>
        </w:trPr>
        <w:tc>
          <w:tcPr>
            <w:tcW w:w="2410" w:type="dxa"/>
            <w:tcMar>
              <w:top w:w="15" w:type="dxa"/>
              <w:left w:w="15" w:type="dxa"/>
              <w:bottom w:w="0" w:type="dxa"/>
              <w:right w:w="15" w:type="dxa"/>
            </w:tcMar>
            <w:vAlign w:val="center"/>
          </w:tcPr>
          <w:p w:rsidR="001245C7" w:rsidRDefault="001245C7" w:rsidP="001F073E">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в том числе закупки только среди субъектов МСП («спецторги»)</w:t>
            </w:r>
          </w:p>
        </w:tc>
        <w:tc>
          <w:tcPr>
            <w:tcW w:w="143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54</w:t>
            </w:r>
          </w:p>
        </w:tc>
        <w:tc>
          <w:tcPr>
            <w:tcW w:w="1843"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1</w:t>
            </w:r>
            <w:r w:rsidR="002459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400</w:t>
            </w:r>
            <w:r w:rsidR="002459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700,92</w:t>
            </w:r>
          </w:p>
        </w:tc>
        <w:tc>
          <w:tcPr>
            <w:tcW w:w="2268" w:type="dxa"/>
            <w:tcMar>
              <w:top w:w="15" w:type="dxa"/>
              <w:left w:w="15" w:type="dxa"/>
              <w:bottom w:w="0" w:type="dxa"/>
              <w:right w:w="15" w:type="dxa"/>
            </w:tcMar>
            <w:vAlign w:val="center"/>
          </w:tcPr>
          <w:p w:rsidR="001245C7" w:rsidRDefault="001245C7" w:rsidP="001F073E">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473</w:t>
            </w:r>
            <w:r w:rsidR="002459A9">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187,264</w:t>
            </w:r>
          </w:p>
        </w:tc>
        <w:tc>
          <w:tcPr>
            <w:tcW w:w="1842" w:type="dxa"/>
            <w:tcMar>
              <w:top w:w="15" w:type="dxa"/>
              <w:left w:w="15" w:type="dxa"/>
              <w:bottom w:w="0" w:type="dxa"/>
              <w:right w:w="15" w:type="dxa"/>
            </w:tcMar>
            <w:vAlign w:val="center"/>
          </w:tcPr>
          <w:p w:rsidR="001245C7" w:rsidRDefault="001245C7" w:rsidP="002459A9">
            <w:pPr>
              <w:spacing w:after="0" w:line="240" w:lineRule="auto"/>
              <w:jc w:val="center"/>
              <w:rPr>
                <w:rFonts w:ascii="Times New Roman" w:hAnsi="Times New Roman" w:cs="Times New Roman"/>
                <w:sz w:val="20"/>
                <w:szCs w:val="20"/>
              </w:rPr>
            </w:pPr>
            <w:r>
              <w:rPr>
                <w:rFonts w:ascii="Times New Roman" w:eastAsia="Times New Roman" w:hAnsi="Times New Roman" w:cs="Times New Roman"/>
                <w:color w:val="000000"/>
                <w:sz w:val="20"/>
                <w:szCs w:val="20"/>
              </w:rPr>
              <w:t>20,03</w:t>
            </w:r>
          </w:p>
        </w:tc>
      </w:tr>
    </w:tbl>
    <w:p w:rsidR="001245C7" w:rsidRDefault="001245C7" w:rsidP="001245C7">
      <w:pPr>
        <w:spacing w:after="0" w:line="240" w:lineRule="auto"/>
        <w:contextualSpacing/>
        <w:jc w:val="both"/>
        <w:rPr>
          <w:rFonts w:ascii="Times New Roman" w:hAnsi="Times New Roman" w:cs="Times New Roman"/>
          <w:sz w:val="20"/>
          <w:szCs w:val="24"/>
        </w:rPr>
      </w:pPr>
      <w:r>
        <w:rPr>
          <w:rFonts w:ascii="Times New Roman" w:eastAsia="Times New Roman" w:hAnsi="Times New Roman" w:cs="Times New Roman"/>
          <w:sz w:val="24"/>
          <w:szCs w:val="24"/>
        </w:rPr>
        <w:t>* Данные формируются в соответствии с требованиями постановления Правительства Российской Федерации от 11 декабря 2014 г. № 1352</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pStyle w:val="1"/>
        <w:ind w:firstLine="709"/>
        <w:rPr>
          <w:b w:val="0"/>
          <w:lang w:eastAsia="ar-SA"/>
        </w:rPr>
      </w:pPr>
      <w:bookmarkStart w:id="33" w:name="_Toc195780428"/>
      <w:r>
        <w:rPr>
          <w:lang w:eastAsia="ar-SA"/>
        </w:rPr>
        <w:t>Антикоррупционная политика</w:t>
      </w:r>
      <w:bookmarkEnd w:id="33"/>
    </w:p>
    <w:p w:rsidR="00A10DA8" w:rsidRDefault="00A10DA8">
      <w:pPr>
        <w:tabs>
          <w:tab w:val="left" w:pos="709"/>
          <w:tab w:val="left" w:pos="993"/>
        </w:tabs>
        <w:spacing w:after="0" w:line="240" w:lineRule="auto"/>
        <w:ind w:firstLine="709"/>
        <w:rPr>
          <w:rFonts w:ascii="Times New Roman" w:eastAsia="Times New Roman" w:hAnsi="Times New Roman" w:cs="Times New Roman"/>
          <w:b/>
          <w:sz w:val="24"/>
          <w:szCs w:val="24"/>
          <w:lang w:eastAsia="ar-SA"/>
        </w:rPr>
      </w:pP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 соответствии со ст. 13.3 Федерального закона от 25.12.2008 № 273-ФЗ «О противодействии коррупции» в Обществе осуществляется комплекс мер и задач, направленных на предупреждение и противодействие коррупции.</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 xml:space="preserve">В Обществе осуществляется постоянный контроль и регулярный мониторинг эффективности внедренных антикоррупционных стандартов и процедур, а также контроль их исполнения. Антикоррупционная политика ПАО «Россети» и ДЗО ПАО «Россети» утверждена Советом директоров Общества 11.07.2023 (протокол от 11.07.2023 № 306). </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Реализация положений и требований Антикоррупционной политики в отчетном периоде осуществлялась в рамках Перечня антикоррупционных мероприятий Общества и Плана мероприятий по профилактике и противодействию коррупции ПАО «Россети Северный Кавказ» и управляемых Обществ на 2024 год (приложение к приказу ПАО «Россети Северный Кавказ» от 18.01.2024 № 9). </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 рамках выполнения задачи по ежегодному декларированию конфликта интересов в I полугодии 2024 года проведена кампания по ежегодному декларированию конфликта интересов работников административно-управленческого персонала АО «Чеченэнерго» за 2023 год. Всего продекларировано 255 работников. В ходе декларирования выявлены две предконфликтные ситуации, связанные с непосредственной подчиненностью между работниками, состоящими в родстве.  Все предконфликтные ситуации урегулированы в рабочем порядке.</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 целью исключения личной заинтересованности работников (кандидатов) при реализации ими трудовых функций и принятии деловых решений, а также выявления, предотвращения и урегулирования конфликта интересов, в отчетном периоде осуществлялась работа по проверке деклараций конфликта интересов кандидатов на работу в Общество. Проверено 411 кандидатов на работу.</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 Обществе действует приказ от 06.08.2021 № 334, утверждающий Порядок приема, рассмотрения и разрешения обращений заявителей (работников, контрагентов ПАО «Россети Северный Кавказ» и управляемых Обществ, иных физических и юридических лиц) о возможных фактах коррупции (далее – Порядок). Порядок определяет единый механизм по организации приема, рассмотрения и разрешения обращений работников ПАО «Россети Северный Кавказ» и управляемых Обществ, контрагентов и иных физических и юридических лиц о возможных фактах коррупции, а также регламентирует решение задач проверки возможных фактов коррупции и выработку соответствующих мероприятий по пресечению коррупционных правонарушений. Порядком предусмотрены доступные для всех лиц способы направления обращений, а также предварительное рассмотрение, сроки и контроль рассмотрения, форму ведения Журнала регистрации и учета обращений заявителей по возможным фактам коррупции во всех филиалах Общества и управляемых Обществах. </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 целью совершенствования правового регулирования антикоррупционной деятельности, формирования единого подхода к обеспечению работы по предупреждению и противодействию коррупции ПАО «Россети Северный Кавказ» разработаны и распространены на управляемые Общества организационно-распорядительные документы, регламентирующие некоторые направления работы:</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приказ ПАО «Россети Северный Кавказ» от 18.01.2024 № 9 «Об утверждении Плана противодействия коррупции в ПАО «Россети Северный Кавказ» и управляемых Обществах на 2024 год»;</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приказ ПАО «Россети Северный Кавказ» от 23.05.2024 № 155 «Об организации работы по раскрытию информации о цепочке собственников контрагентов и участников закупок и утверждении порядка включения в договоры антикоррупционной оговорки»;</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приказ ПАО «Россети Северный Кавказ» от 03.09.2024 № 262 «Об утверждении Методических рекомендаций об антикоррупционных стандартах поведения»;</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приказ ПАО «Россети Северный Кавказ» от 09.12.2024 № 378 «О мерах по предупреждению коррупции – предотвращению и урегулированию конфликта интересов в ПАО «Россети Северный Кавказ» и управляемых Обществах»;</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 приказ ПАО «Россети Северный Кавказ» от 28.12.2024 № 419 «Об утверждении Плана противодействия коррупции в ПАО «Россети Северный Кавказ» и АО «Чеченэнерго» на 2025 год».</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Данные организационно-распорядительные документы дают возможность Обществу осуществлять антикоррупционную деятельность, оценивать состояние работы, корректировать и совершенствовать ее в повседневной деятельности в рамках законодательства.</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Все вновь принятые работники подписали обязательство о прохождении онлайн-обучения и тестирования по вопросам профилактики и противодействия коррупции на корпоративном портале Общества в течении месяца со дня приема на работу. Также в апреле 2024 года все работники Общества прошли повторно онлайн-обучение и тестирование по вопросам профилактики и противодействия коррупции на корпоративном портале Общества. Всего в 2024 году прошли онлайн-обучение и итоговое тестирование 2 350 работников.</w:t>
      </w:r>
    </w:p>
    <w:p w:rsidR="00A10DA8" w:rsidRDefault="00CA7E8A">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 целях выполнения задач по профилактике и противодействию коррупции, особое внимание уделяется организации работы по осуществлению контроля за исполнением указаний руководства Общества в области противодействия коррупции, мониторинг внедренных процедур с целью оценки эффективности, взаимодействие со структурными подразделениями Общества, правоохранительными органами и органами власти.</w:t>
      </w:r>
    </w:p>
    <w:p w:rsidR="00A10DA8" w:rsidRDefault="00A10DA8">
      <w:pPr>
        <w:tabs>
          <w:tab w:val="left" w:pos="709"/>
          <w:tab w:val="left" w:pos="993"/>
        </w:tabs>
        <w:spacing w:after="0" w:line="240" w:lineRule="auto"/>
        <w:ind w:firstLine="709"/>
        <w:jc w:val="both"/>
        <w:rPr>
          <w:rFonts w:ascii="Times New Roman" w:eastAsia="Times New Roman" w:hAnsi="Times New Roman" w:cs="Times New Roman"/>
          <w:sz w:val="24"/>
          <w:szCs w:val="24"/>
          <w:lang w:eastAsia="ar-SA"/>
        </w:rPr>
      </w:pP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992"/>
        <w:gridCol w:w="992"/>
        <w:gridCol w:w="992"/>
        <w:gridCol w:w="850"/>
        <w:gridCol w:w="1136"/>
      </w:tblGrid>
      <w:tr w:rsidR="00A10DA8">
        <w:trPr>
          <w:cantSplit/>
          <w:trHeight w:val="60"/>
          <w:jc w:val="center"/>
        </w:trPr>
        <w:tc>
          <w:tcPr>
            <w:tcW w:w="3539" w:type="dxa"/>
            <w:vMerge w:val="restart"/>
            <w:vAlign w:val="center"/>
          </w:tcPr>
          <w:p w:rsidR="00A10DA8" w:rsidRDefault="00CA7E8A">
            <w:pPr>
              <w:widowControl w:val="0"/>
              <w:spacing w:after="0" w:line="240" w:lineRule="auto"/>
              <w:ind w:left="-113" w:right="-114"/>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Показатели</w:t>
            </w:r>
          </w:p>
        </w:tc>
        <w:tc>
          <w:tcPr>
            <w:tcW w:w="992" w:type="dxa"/>
            <w:vMerge w:val="restart"/>
            <w:vAlign w:val="center"/>
          </w:tcPr>
          <w:p w:rsidR="00A10DA8" w:rsidRDefault="00CA7E8A">
            <w:pPr>
              <w:widowControl w:val="0"/>
              <w:tabs>
                <w:tab w:val="left" w:pos="40"/>
              </w:tabs>
              <w:spacing w:after="0" w:line="240" w:lineRule="auto"/>
              <w:ind w:left="-111" w:right="-112"/>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Ед.изм.</w:t>
            </w:r>
          </w:p>
        </w:tc>
        <w:tc>
          <w:tcPr>
            <w:tcW w:w="3970"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Период</w:t>
            </w:r>
          </w:p>
        </w:tc>
      </w:tr>
      <w:tr w:rsidR="00A10DA8">
        <w:trPr>
          <w:cantSplit/>
          <w:jc w:val="center"/>
        </w:trPr>
        <w:tc>
          <w:tcPr>
            <w:tcW w:w="3539" w:type="dxa"/>
            <w:vMerge/>
            <w:vAlign w:val="center"/>
          </w:tcPr>
          <w:p w:rsidR="00A10DA8" w:rsidRDefault="00A10DA8">
            <w:pPr>
              <w:widowControl w:val="0"/>
              <w:spacing w:after="0" w:line="240" w:lineRule="auto"/>
              <w:ind w:left="426" w:right="-143" w:hanging="426"/>
              <w:jc w:val="center"/>
              <w:rPr>
                <w:rFonts w:ascii="Times New Roman" w:eastAsia="Times New Roman" w:hAnsi="Times New Roman" w:cs="Times New Roman"/>
                <w:b/>
                <w:bCs/>
                <w:color w:val="000000"/>
                <w:sz w:val="18"/>
                <w:szCs w:val="18"/>
                <w:lang w:eastAsia="ru-RU"/>
              </w:rPr>
            </w:pPr>
          </w:p>
        </w:tc>
        <w:tc>
          <w:tcPr>
            <w:tcW w:w="992" w:type="dxa"/>
            <w:vMerge/>
            <w:vAlign w:val="center"/>
          </w:tcPr>
          <w:p w:rsidR="00A10DA8" w:rsidRDefault="00A10DA8">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18"/>
                <w:szCs w:val="18"/>
                <w:lang w:eastAsia="ru-RU"/>
              </w:rPr>
            </w:pPr>
          </w:p>
        </w:tc>
        <w:tc>
          <w:tcPr>
            <w:tcW w:w="992" w:type="dxa"/>
            <w:vAlign w:val="center"/>
          </w:tcPr>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2022 г.</w:t>
            </w:r>
          </w:p>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992" w:type="dxa"/>
            <w:shd w:val="clear" w:color="auto" w:fill="auto"/>
            <w:vAlign w:val="center"/>
          </w:tcPr>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2023 г.</w:t>
            </w:r>
          </w:p>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850" w:type="dxa"/>
            <w:shd w:val="clear" w:color="auto" w:fill="auto"/>
            <w:vAlign w:val="center"/>
          </w:tcPr>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2024 г.</w:t>
            </w:r>
          </w:p>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1136" w:type="dxa"/>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изменение 2024/2023, %</w:t>
            </w:r>
          </w:p>
        </w:tc>
      </w:tr>
      <w:tr w:rsidR="00A10DA8">
        <w:trPr>
          <w:cantSplit/>
          <w:trHeight w:val="407"/>
          <w:jc w:val="center"/>
        </w:trPr>
        <w:tc>
          <w:tcPr>
            <w:tcW w:w="3539" w:type="dxa"/>
            <w:vAlign w:val="center"/>
          </w:tcPr>
          <w:p w:rsidR="00A10DA8" w:rsidRDefault="00CA7E8A">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Количество рассмотренных материалов (вопросов) закупочной деятельности</w:t>
            </w:r>
          </w:p>
        </w:tc>
        <w:tc>
          <w:tcPr>
            <w:tcW w:w="992" w:type="dxa"/>
            <w:vAlign w:val="center"/>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шт.</w:t>
            </w:r>
          </w:p>
        </w:tc>
        <w:tc>
          <w:tcPr>
            <w:tcW w:w="992" w:type="dxa"/>
            <w:vAlign w:val="center"/>
          </w:tcPr>
          <w:p w:rsidR="00A10DA8" w:rsidRDefault="00CA7E8A">
            <w:pPr>
              <w:widowControl w:val="0"/>
              <w:spacing w:after="0" w:line="240" w:lineRule="auto"/>
              <w:ind w:right="-143"/>
              <w:jc w:val="center"/>
              <w:rPr>
                <w:rFonts w:ascii="Times New Roman" w:eastAsia="Times New Roman" w:hAnsi="Times New Roman" w:cs="Times New Roman"/>
                <w:bCs/>
                <w:color w:val="000000"/>
                <w:sz w:val="18"/>
                <w:szCs w:val="18"/>
                <w:lang w:val="en-US" w:eastAsia="ru-RU"/>
              </w:rPr>
            </w:pPr>
            <w:r>
              <w:rPr>
                <w:rFonts w:ascii="Times New Roman" w:hAnsi="Times New Roman" w:cs="Times New Roman"/>
                <w:bCs/>
                <w:color w:val="000000"/>
                <w:sz w:val="20"/>
                <w:szCs w:val="20"/>
              </w:rPr>
              <w:t>0</w:t>
            </w:r>
          </w:p>
        </w:tc>
        <w:tc>
          <w:tcPr>
            <w:tcW w:w="992" w:type="dxa"/>
            <w:shd w:val="clear" w:color="auto" w:fill="auto"/>
            <w:vAlign w:val="center"/>
          </w:tcPr>
          <w:p w:rsidR="00A10DA8" w:rsidRDefault="00CA7E8A">
            <w:pPr>
              <w:widowControl w:val="0"/>
              <w:spacing w:after="0" w:line="240" w:lineRule="auto"/>
              <w:ind w:left="426" w:right="-143" w:hanging="426"/>
              <w:jc w:val="center"/>
              <w:rPr>
                <w:rFonts w:ascii="Times New Roman" w:eastAsia="Times New Roman" w:hAnsi="Times New Roman" w:cs="Times New Roman"/>
                <w:bCs/>
                <w:color w:val="000000"/>
                <w:sz w:val="18"/>
                <w:szCs w:val="18"/>
                <w:lang w:val="en-US" w:eastAsia="ru-RU"/>
              </w:rPr>
            </w:pPr>
            <w:r>
              <w:rPr>
                <w:rFonts w:ascii="Times New Roman" w:hAnsi="Times New Roman" w:cs="Times New Roman"/>
                <w:bCs/>
                <w:color w:val="000000"/>
                <w:sz w:val="20"/>
                <w:szCs w:val="20"/>
              </w:rPr>
              <w:t>113</w:t>
            </w:r>
          </w:p>
        </w:tc>
        <w:tc>
          <w:tcPr>
            <w:tcW w:w="850" w:type="dxa"/>
            <w:shd w:val="clear" w:color="auto" w:fill="auto"/>
            <w:vAlign w:val="center"/>
          </w:tcPr>
          <w:p w:rsidR="00A10DA8" w:rsidRDefault="00CA7E8A">
            <w:pPr>
              <w:widowControl w:val="0"/>
              <w:spacing w:after="0" w:line="240" w:lineRule="auto"/>
              <w:ind w:left="426" w:right="-143" w:hanging="426"/>
              <w:jc w:val="center"/>
              <w:rPr>
                <w:rFonts w:ascii="Times New Roman" w:eastAsia="Times New Roman" w:hAnsi="Times New Roman" w:cs="Times New Roman"/>
                <w:bCs/>
                <w:color w:val="000000"/>
                <w:sz w:val="18"/>
                <w:szCs w:val="18"/>
                <w:lang w:eastAsia="ru-RU"/>
              </w:rPr>
            </w:pPr>
            <w:r>
              <w:rPr>
                <w:rFonts w:ascii="Times New Roman" w:hAnsi="Times New Roman" w:cs="Times New Roman"/>
                <w:bCs/>
                <w:color w:val="000000"/>
                <w:sz w:val="20"/>
                <w:szCs w:val="20"/>
              </w:rPr>
              <w:t>294</w:t>
            </w:r>
          </w:p>
        </w:tc>
        <w:tc>
          <w:tcPr>
            <w:tcW w:w="1136" w:type="dxa"/>
            <w:shd w:val="clear" w:color="auto" w:fill="auto"/>
            <w:vAlign w:val="center"/>
          </w:tcPr>
          <w:p w:rsidR="00A10DA8" w:rsidRDefault="00CA7E8A">
            <w:pPr>
              <w:widowControl w:val="0"/>
              <w:spacing w:after="0" w:line="240" w:lineRule="auto"/>
              <w:ind w:right="-143"/>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20"/>
                <w:szCs w:val="20"/>
              </w:rPr>
              <w:t>160,18</w:t>
            </w:r>
          </w:p>
        </w:tc>
      </w:tr>
    </w:tbl>
    <w:p w:rsidR="00A10DA8" w:rsidRDefault="00A10DA8">
      <w:pPr>
        <w:spacing w:after="0" w:line="240" w:lineRule="auto"/>
        <w:ind w:firstLine="709"/>
        <w:jc w:val="both"/>
        <w:rPr>
          <w:rFonts w:ascii="Times New Roman" w:eastAsia="Calibri" w:hAnsi="Times New Roman" w:cs="Times New Roman"/>
          <w:color w:val="000000"/>
          <w:sz w:val="24"/>
          <w:szCs w:val="24"/>
        </w:rPr>
      </w:pPr>
    </w:p>
    <w:p w:rsidR="00A10DA8" w:rsidRDefault="00CA7E8A">
      <w:pPr>
        <w:pStyle w:val="1"/>
        <w:ind w:firstLine="709"/>
        <w:rPr>
          <w:lang w:eastAsia="ar-SA"/>
        </w:rPr>
      </w:pPr>
      <w:bookmarkStart w:id="34" w:name="_Toc195780429"/>
      <w:r>
        <w:rPr>
          <w:lang w:eastAsia="ar-SA"/>
        </w:rPr>
        <w:t>Энергопотребление и энергосбережение</w:t>
      </w:r>
      <w:bookmarkEnd w:id="34"/>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Организация работы по энергосбережению и повышению энергетической эффективности Общества в 2024 году выполнялась в соответствии с Федеральным законом № 261-ФЗ «Об энергосбережении и о повышении энергетической эффективности и о внесении изменений в отдельные законодательные акты Российской Федерации», приказами Минэнерго России, а также в соответствии с Программой энергосбережения и повышения энергетической эффективности АО «Чеченэнерго» на период 2022-2027 гг. (далее – Программа), утвержденной решением Совета директоров Общества (протокол от 01.08.2022 № 271).</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обеспечения реализации Программы в исполнительном аппарате Общества назначены ответственные руководители, отвечающие за контроль исполнения Программы, созданы рабочие группы, осуществляющие анализ выполнения Программы (приказ АО «Чеченэнерго» от 24.10.2020 № 292).</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A10DA8">
      <w:pPr>
        <w:tabs>
          <w:tab w:val="left" w:pos="9356"/>
        </w:tabs>
        <w:spacing w:after="0" w:line="240" w:lineRule="auto"/>
        <w:ind w:firstLine="709"/>
        <w:contextualSpacing/>
        <w:jc w:val="both"/>
        <w:rPr>
          <w:rFonts w:ascii="Times New Roman" w:eastAsia="Times New Roman" w:hAnsi="Times New Roman" w:cs="Times New Roman"/>
          <w:sz w:val="24"/>
          <w:szCs w:val="24"/>
          <w:lang w:eastAsia="ru-RU"/>
        </w:rPr>
      </w:pPr>
    </w:p>
    <w:p w:rsidR="00A10DA8" w:rsidRDefault="00CA7E8A">
      <w:pPr>
        <w:tabs>
          <w:tab w:val="left" w:pos="1134"/>
        </w:tabs>
        <w:spacing w:after="0" w:line="240" w:lineRule="auto"/>
        <w:ind w:firstLine="680"/>
        <w:jc w:val="center"/>
        <w:rPr>
          <w:rFonts w:ascii="Times New Roman" w:eastAsia="Calibri" w:hAnsi="Times New Roman" w:cs="Times New Roman"/>
          <w:b/>
          <w:sz w:val="24"/>
          <w:szCs w:val="24"/>
        </w:rPr>
      </w:pPr>
      <w:r>
        <w:rPr>
          <w:rFonts w:ascii="Times New Roman" w:eastAsia="Calibri" w:hAnsi="Times New Roman" w:cs="Times New Roman"/>
          <w:b/>
          <w:sz w:val="24"/>
          <w:szCs w:val="24"/>
        </w:rPr>
        <w:t>Показатели по энергопотреблению и энергосбережению</w:t>
      </w:r>
    </w:p>
    <w:tbl>
      <w:tblPr>
        <w:tblW w:w="8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1045"/>
        <w:gridCol w:w="1134"/>
        <w:gridCol w:w="1134"/>
        <w:gridCol w:w="1560"/>
      </w:tblGrid>
      <w:tr w:rsidR="00A10DA8">
        <w:trPr>
          <w:cantSplit/>
          <w:trHeight w:val="77"/>
          <w:jc w:val="center"/>
        </w:trPr>
        <w:tc>
          <w:tcPr>
            <w:tcW w:w="2830" w:type="dxa"/>
            <w:vMerge w:val="restart"/>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992" w:type="dxa"/>
            <w:vMerge w:val="restart"/>
            <w:vAlign w:val="center"/>
          </w:tcPr>
          <w:p w:rsidR="00A10DA8" w:rsidRDefault="00CA7E8A">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4873"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A10DA8">
        <w:trPr>
          <w:cantSplit/>
          <w:jc w:val="center"/>
        </w:trPr>
        <w:tc>
          <w:tcPr>
            <w:tcW w:w="2830" w:type="dxa"/>
            <w:vMerge/>
            <w:vAlign w:val="center"/>
          </w:tcPr>
          <w:p w:rsidR="00A10DA8" w:rsidRDefault="00A10DA8">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992" w:type="dxa"/>
            <w:vMerge/>
            <w:vAlign w:val="center"/>
          </w:tcPr>
          <w:p w:rsidR="00A10DA8" w:rsidRDefault="00A10DA8">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1045" w:type="dxa"/>
            <w:shd w:val="clear" w:color="auto" w:fill="auto"/>
            <w:vAlign w:val="center"/>
          </w:tcPr>
          <w:p w:rsidR="00A10DA8" w:rsidRDefault="00CA7E8A">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w:t>
            </w:r>
          </w:p>
        </w:tc>
        <w:tc>
          <w:tcPr>
            <w:tcW w:w="1134" w:type="dxa"/>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1134" w:type="dxa"/>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w:t>
            </w:r>
          </w:p>
        </w:tc>
        <w:tc>
          <w:tcPr>
            <w:tcW w:w="1560" w:type="dxa"/>
            <w:vAlign w:val="center"/>
          </w:tcPr>
          <w:p w:rsidR="00A10DA8" w:rsidRDefault="00CA7E8A">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w:t>
            </w:r>
          </w:p>
          <w:p w:rsidR="00A10DA8" w:rsidRDefault="00CA7E8A">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2024/20</w:t>
            </w:r>
            <w:r>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3, %</w:t>
            </w:r>
          </w:p>
        </w:tc>
      </w:tr>
      <w:tr w:rsidR="00A10DA8">
        <w:trPr>
          <w:cantSplit/>
          <w:jc w:val="center"/>
        </w:trPr>
        <w:tc>
          <w:tcPr>
            <w:tcW w:w="2830" w:type="dxa"/>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992" w:type="dxa"/>
            <w:vAlign w:val="center"/>
          </w:tcPr>
          <w:p w:rsidR="00A10DA8" w:rsidRDefault="00CA7E8A">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1045" w:type="dxa"/>
            <w:shd w:val="clear" w:color="auto" w:fill="auto"/>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1134" w:type="dxa"/>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1134" w:type="dxa"/>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5</w:t>
            </w:r>
          </w:p>
        </w:tc>
        <w:tc>
          <w:tcPr>
            <w:tcW w:w="1560" w:type="dxa"/>
            <w:tcBorders>
              <w:bottom w:val="single" w:sz="4" w:space="0" w:color="auto"/>
            </w:tcBorders>
            <w:vAlign w:val="center"/>
          </w:tcPr>
          <w:p w:rsidR="00A10DA8" w:rsidRDefault="00CA7E8A">
            <w:pPr>
              <w:widowControl w:val="0"/>
              <w:spacing w:after="0" w:line="240" w:lineRule="auto"/>
              <w:jc w:val="center"/>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6</w:t>
            </w:r>
          </w:p>
        </w:tc>
      </w:tr>
      <w:tr w:rsidR="00A10DA8">
        <w:trPr>
          <w:cantSplit/>
          <w:trHeight w:val="311"/>
          <w:jc w:val="center"/>
        </w:trPr>
        <w:tc>
          <w:tcPr>
            <w:tcW w:w="2830" w:type="dxa"/>
            <w:vMerge w:val="restart"/>
            <w:shd w:val="clear" w:color="auto" w:fill="auto"/>
            <w:vAlign w:val="center"/>
          </w:tcPr>
          <w:p w:rsidR="00A10DA8" w:rsidRDefault="00CA7E8A">
            <w:pPr>
              <w:spacing w:after="0" w:line="240" w:lineRule="auto"/>
              <w:jc w:val="both"/>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 xml:space="preserve">Расход топливно-энергетических ресурсов (ТЭР) </w:t>
            </w:r>
          </w:p>
        </w:tc>
        <w:tc>
          <w:tcPr>
            <w:tcW w:w="992" w:type="dxa"/>
            <w:shd w:val="clear" w:color="auto" w:fill="auto"/>
            <w:vAlign w:val="center"/>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тыс. т.у.т.</w:t>
            </w:r>
          </w:p>
        </w:tc>
        <w:tc>
          <w:tcPr>
            <w:tcW w:w="1045"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4,53</w:t>
            </w:r>
          </w:p>
        </w:tc>
        <w:tc>
          <w:tcPr>
            <w:tcW w:w="1134"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4,22</w:t>
            </w:r>
          </w:p>
        </w:tc>
        <w:tc>
          <w:tcPr>
            <w:tcW w:w="1134"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4,42</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4,74</w:t>
            </w:r>
          </w:p>
        </w:tc>
      </w:tr>
      <w:tr w:rsidR="00A10DA8">
        <w:trPr>
          <w:cantSplit/>
          <w:trHeight w:val="353"/>
          <w:jc w:val="center"/>
        </w:trPr>
        <w:tc>
          <w:tcPr>
            <w:tcW w:w="2830" w:type="dxa"/>
            <w:vMerge/>
            <w:vAlign w:val="center"/>
          </w:tcPr>
          <w:p w:rsidR="00A10DA8" w:rsidRDefault="00A10DA8">
            <w:pPr>
              <w:widowControl w:val="0"/>
              <w:spacing w:after="0" w:line="240" w:lineRule="auto"/>
              <w:jc w:val="both"/>
              <w:rPr>
                <w:rFonts w:ascii="Times New Roman" w:eastAsia="Times New Roman" w:hAnsi="Times New Roman" w:cs="Times New Roman"/>
                <w:b/>
                <w:color w:val="000000"/>
                <w:sz w:val="20"/>
                <w:szCs w:val="20"/>
                <w:lang w:eastAsia="ru-RU"/>
              </w:rPr>
            </w:pPr>
          </w:p>
        </w:tc>
        <w:tc>
          <w:tcPr>
            <w:tcW w:w="992" w:type="dxa"/>
            <w:vAlign w:val="center"/>
          </w:tcPr>
          <w:p w:rsidR="00A10DA8" w:rsidRDefault="00CA7E8A">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rPr>
              <w:t>млн руб.</w:t>
            </w:r>
          </w:p>
        </w:tc>
        <w:tc>
          <w:tcPr>
            <w:tcW w:w="1045"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114,65</w:t>
            </w:r>
          </w:p>
        </w:tc>
        <w:tc>
          <w:tcPr>
            <w:tcW w:w="1134"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110,21</w:t>
            </w:r>
          </w:p>
        </w:tc>
        <w:tc>
          <w:tcPr>
            <w:tcW w:w="1134"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115,43</w:t>
            </w:r>
          </w:p>
        </w:tc>
        <w:tc>
          <w:tcPr>
            <w:tcW w:w="1560" w:type="dxa"/>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4,74</w:t>
            </w:r>
          </w:p>
        </w:tc>
      </w:tr>
    </w:tbl>
    <w:p w:rsidR="00A10DA8" w:rsidRDefault="00A10DA8">
      <w:pPr>
        <w:tabs>
          <w:tab w:val="left" w:pos="1134"/>
        </w:tabs>
        <w:spacing w:after="0" w:line="240" w:lineRule="auto"/>
        <w:ind w:firstLine="680"/>
        <w:jc w:val="center"/>
        <w:rPr>
          <w:rFonts w:ascii="Times New Roman" w:eastAsia="Calibri" w:hAnsi="Times New Roman" w:cs="Times New Roman"/>
          <w:sz w:val="20"/>
          <w:szCs w:val="20"/>
        </w:rPr>
      </w:pPr>
    </w:p>
    <w:p w:rsidR="00A10DA8" w:rsidRDefault="00CA7E8A">
      <w:pPr>
        <w:tabs>
          <w:tab w:val="left" w:pos="1134"/>
        </w:tabs>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Объем энергетических ресурсов, использованных в 2024 году</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985"/>
        <w:gridCol w:w="1843"/>
        <w:gridCol w:w="1275"/>
        <w:gridCol w:w="1276"/>
        <w:gridCol w:w="1701"/>
      </w:tblGrid>
      <w:tr w:rsidR="00A10DA8">
        <w:trPr>
          <w:trHeight w:val="1"/>
          <w:tblHeader/>
          <w:jc w:val="center"/>
        </w:trPr>
        <w:tc>
          <w:tcPr>
            <w:tcW w:w="562"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lastRenderedPageBreak/>
              <w:t>№ п/п</w:t>
            </w:r>
          </w:p>
        </w:tc>
        <w:tc>
          <w:tcPr>
            <w:tcW w:w="1985"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Виды ресурсов</w:t>
            </w: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Ед. изм.</w:t>
            </w:r>
          </w:p>
        </w:tc>
        <w:tc>
          <w:tcPr>
            <w:tcW w:w="1275" w:type="dxa"/>
            <w:tcBorders>
              <w:bottom w:val="single" w:sz="4" w:space="0" w:color="auto"/>
            </w:tcBorders>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План 2024</w:t>
            </w:r>
          </w:p>
        </w:tc>
        <w:tc>
          <w:tcPr>
            <w:tcW w:w="1276" w:type="dxa"/>
            <w:tcBorders>
              <w:bottom w:val="single" w:sz="4" w:space="0" w:color="auto"/>
            </w:tcBorders>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Факт 2024</w:t>
            </w:r>
          </w:p>
        </w:tc>
        <w:tc>
          <w:tcPr>
            <w:tcW w:w="1701" w:type="dxa"/>
            <w:tcBorders>
              <w:bottom w:val="single" w:sz="4" w:space="0" w:color="auto"/>
            </w:tcBorders>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Отклонение в %</w:t>
            </w:r>
          </w:p>
        </w:tc>
      </w:tr>
      <w:tr w:rsidR="00A10DA8">
        <w:trPr>
          <w:trHeight w:val="1"/>
          <w:jc w:val="center"/>
        </w:trPr>
        <w:tc>
          <w:tcPr>
            <w:tcW w:w="562"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985"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электрическая энергия</w:t>
            </w: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млн. кВт∙ч</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6,43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7,21</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12,13</w:t>
            </w:r>
          </w:p>
        </w:tc>
      </w:tr>
      <w:tr w:rsidR="00A10DA8">
        <w:trPr>
          <w:trHeight w:val="1"/>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 т у.т.</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0,77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0,87</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12,99</w:t>
            </w:r>
          </w:p>
        </w:tc>
      </w:tr>
      <w:tr w:rsidR="00A10DA8">
        <w:trPr>
          <w:trHeight w:val="1"/>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млн.руб. без НДС</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5,76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9,71</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68,58</w:t>
            </w:r>
          </w:p>
        </w:tc>
      </w:tr>
      <w:tr w:rsidR="00A10DA8">
        <w:trPr>
          <w:trHeight w:val="271"/>
          <w:jc w:val="center"/>
        </w:trPr>
        <w:tc>
          <w:tcPr>
            <w:tcW w:w="562"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2.</w:t>
            </w:r>
          </w:p>
        </w:tc>
        <w:tc>
          <w:tcPr>
            <w:tcW w:w="1985"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бензин автомобильный</w:t>
            </w: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тыс.л.</w:t>
            </w:r>
          </w:p>
        </w:tc>
        <w:tc>
          <w:tcPr>
            <w:tcW w:w="1275" w:type="dxa"/>
            <w:tcBorders>
              <w:top w:val="single" w:sz="4" w:space="0" w:color="auto"/>
              <w:left w:val="single" w:sz="8"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1 649,36   </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1 347,41   </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-18,31</w:t>
            </w:r>
          </w:p>
        </w:tc>
      </w:tr>
      <w:tr w:rsidR="00A10DA8">
        <w:trPr>
          <w:trHeight w:val="275"/>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 т у.т.</w:t>
            </w:r>
          </w:p>
        </w:tc>
        <w:tc>
          <w:tcPr>
            <w:tcW w:w="1275" w:type="dxa"/>
            <w:tcBorders>
              <w:top w:val="none" w:sz="4" w:space="0" w:color="000000"/>
              <w:left w:val="single" w:sz="8"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1,87   </w:t>
            </w:r>
          </w:p>
        </w:tc>
        <w:tc>
          <w:tcPr>
            <w:tcW w:w="127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1,53   </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-18,18</w:t>
            </w:r>
          </w:p>
        </w:tc>
      </w:tr>
      <w:tr w:rsidR="00A10DA8">
        <w:trPr>
          <w:trHeight w:val="275"/>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млн. руб. без НДС</w:t>
            </w:r>
          </w:p>
        </w:tc>
        <w:tc>
          <w:tcPr>
            <w:tcW w:w="1275" w:type="dxa"/>
            <w:tcBorders>
              <w:top w:val="none" w:sz="4" w:space="0" w:color="000000"/>
              <w:left w:val="single" w:sz="8"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75,02   </w:t>
            </w:r>
          </w:p>
        </w:tc>
        <w:tc>
          <w:tcPr>
            <w:tcW w:w="127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61,02</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-18,66</w:t>
            </w:r>
          </w:p>
        </w:tc>
      </w:tr>
      <w:tr w:rsidR="00A10DA8">
        <w:trPr>
          <w:trHeight w:val="279"/>
          <w:jc w:val="center"/>
        </w:trPr>
        <w:tc>
          <w:tcPr>
            <w:tcW w:w="562"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3.</w:t>
            </w:r>
          </w:p>
        </w:tc>
        <w:tc>
          <w:tcPr>
            <w:tcW w:w="1985"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топливо дизельное</w:t>
            </w: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тыс.л.</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927,52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673,73   </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-27,36</w:t>
            </w:r>
          </w:p>
        </w:tc>
      </w:tr>
      <w:tr w:rsidR="00A10DA8">
        <w:trPr>
          <w:trHeight w:val="256"/>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 т.у.т.</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1,14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0,83</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-27,19</w:t>
            </w:r>
          </w:p>
        </w:tc>
      </w:tr>
      <w:tr w:rsidR="00A10DA8">
        <w:trPr>
          <w:trHeight w:val="256"/>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млн. руб. без НДС</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43,76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36,02</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-17,69</w:t>
            </w:r>
          </w:p>
        </w:tc>
      </w:tr>
      <w:tr w:rsidR="00A10DA8">
        <w:trPr>
          <w:trHeight w:val="254"/>
          <w:jc w:val="center"/>
        </w:trPr>
        <w:tc>
          <w:tcPr>
            <w:tcW w:w="562"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4.</w:t>
            </w:r>
          </w:p>
        </w:tc>
        <w:tc>
          <w:tcPr>
            <w:tcW w:w="1985" w:type="dxa"/>
            <w:vMerge w:val="restart"/>
            <w:shd w:val="clear" w:color="000000" w:fill="FFFFFF"/>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газ естественный (природный)</w:t>
            </w: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тыс. м3 </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955,27   </w:t>
            </w:r>
          </w:p>
        </w:tc>
        <w:tc>
          <w:tcPr>
            <w:tcW w:w="1276"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1 034,44</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8,29</w:t>
            </w:r>
          </w:p>
        </w:tc>
      </w:tr>
      <w:tr w:rsidR="00A10DA8">
        <w:trPr>
          <w:trHeight w:val="258"/>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тыс. т у.т.</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1,10   </w:t>
            </w:r>
          </w:p>
        </w:tc>
        <w:tc>
          <w:tcPr>
            <w:tcW w:w="1276" w:type="dxa"/>
            <w:tcBorders>
              <w:top w:val="none" w:sz="4" w:space="0" w:color="000000"/>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1,19</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8,18</w:t>
            </w:r>
          </w:p>
        </w:tc>
      </w:tr>
      <w:tr w:rsidR="00A10DA8">
        <w:trPr>
          <w:trHeight w:val="258"/>
          <w:jc w:val="center"/>
        </w:trPr>
        <w:tc>
          <w:tcPr>
            <w:tcW w:w="562"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A10DA8" w:rsidRDefault="00A10DA8">
            <w:pPr>
              <w:spacing w:after="0" w:line="240" w:lineRule="auto"/>
              <w:rPr>
                <w:rFonts w:ascii="Times New Roman" w:eastAsia="Calibri" w:hAnsi="Times New Roman" w:cs="Times New Roman"/>
                <w:sz w:val="20"/>
                <w:szCs w:val="20"/>
              </w:rPr>
            </w:pPr>
          </w:p>
        </w:tc>
        <w:tc>
          <w:tcPr>
            <w:tcW w:w="1843" w:type="dxa"/>
            <w:shd w:val="clear" w:color="000000" w:fill="FFFFFF"/>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млн руб. без НДС</w:t>
            </w:r>
          </w:p>
        </w:tc>
        <w:tc>
          <w:tcPr>
            <w:tcW w:w="1275" w:type="dxa"/>
            <w:tcBorders>
              <w:top w:val="single" w:sz="4" w:space="0" w:color="auto"/>
              <w:left w:val="none" w:sz="4" w:space="0" w:color="000000"/>
              <w:bottom w:val="single" w:sz="4" w:space="0" w:color="auto"/>
              <w:right w:val="single" w:sz="4" w:space="0" w:color="auto"/>
            </w:tcBorders>
            <w:shd w:val="clear" w:color="000000" w:fill="FFFFFF"/>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6,87   </w:t>
            </w:r>
          </w:p>
        </w:tc>
        <w:tc>
          <w:tcPr>
            <w:tcW w:w="1276" w:type="dxa"/>
            <w:tcBorders>
              <w:top w:val="none" w:sz="4" w:space="0" w:color="000000"/>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8,68</w:t>
            </w:r>
          </w:p>
        </w:tc>
        <w:tc>
          <w:tcPr>
            <w:tcW w:w="1701" w:type="dxa"/>
            <w:tcBorders>
              <w:top w:val="single" w:sz="4" w:space="0" w:color="auto"/>
              <w:left w:val="none" w:sz="4" w:space="0" w:color="000000"/>
              <w:bottom w:val="single" w:sz="4" w:space="0" w:color="auto"/>
              <w:right w:val="single" w:sz="4" w:space="0" w:color="auto"/>
            </w:tcBorders>
            <w:shd w:val="clear" w:color="auto" w:fill="auto"/>
          </w:tcPr>
          <w:p w:rsidR="00A10DA8" w:rsidRDefault="00CA7E8A">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26,35</w:t>
            </w:r>
          </w:p>
        </w:tc>
      </w:tr>
    </w:tbl>
    <w:p w:rsidR="00A10DA8" w:rsidRDefault="00CA7E8A">
      <w:pPr>
        <w:spacing w:after="0" w:line="240" w:lineRule="auto"/>
        <w:ind w:firstLine="709"/>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Иные виды энергетических ресурсов в 2024 году Обществом не потреблялись.</w:t>
      </w:r>
    </w:p>
    <w:p w:rsidR="00A10DA8" w:rsidRDefault="00A10DA8">
      <w:pPr>
        <w:tabs>
          <w:tab w:val="left" w:pos="993"/>
        </w:tabs>
        <w:spacing w:after="0" w:line="240" w:lineRule="auto"/>
        <w:ind w:firstLine="709"/>
        <w:jc w:val="both"/>
        <w:rPr>
          <w:rFonts w:ascii="Times New Roman" w:hAnsi="Times New Roman" w:cs="Times New Roman"/>
          <w:sz w:val="24"/>
          <w:szCs w:val="24"/>
        </w:rPr>
      </w:pPr>
    </w:p>
    <w:p w:rsidR="00A10DA8" w:rsidRDefault="00CA7E8A">
      <w:pPr>
        <w:pStyle w:val="1"/>
        <w:ind w:right="-143" w:firstLine="709"/>
        <w:rPr>
          <w:b w:val="0"/>
          <w:bCs w:val="0"/>
        </w:rPr>
      </w:pPr>
      <w:bookmarkStart w:id="35" w:name="_Toc195780430"/>
      <w:r>
        <w:t>Отчет о корпоративном управлении</w:t>
      </w:r>
      <w:bookmarkEnd w:id="29"/>
      <w:bookmarkEnd w:id="35"/>
    </w:p>
    <w:p w:rsidR="00A10DA8" w:rsidRDefault="00A10DA8">
      <w:pPr>
        <w:pStyle w:val="2"/>
        <w:ind w:right="-143" w:firstLine="709"/>
        <w:rPr>
          <w:sz w:val="24"/>
        </w:rPr>
      </w:pPr>
      <w:bookmarkStart w:id="36" w:name="_Toc473537022"/>
    </w:p>
    <w:p w:rsidR="00A10DA8" w:rsidRDefault="00CA7E8A">
      <w:pPr>
        <w:pStyle w:val="1"/>
        <w:ind w:firstLine="709"/>
      </w:pPr>
      <w:bookmarkStart w:id="37" w:name="_Toc195780431"/>
      <w:r>
        <w:t>Общая информация о корпоративном управлении в Компании</w:t>
      </w:r>
      <w:bookmarkEnd w:id="36"/>
      <w:bookmarkEnd w:id="37"/>
    </w:p>
    <w:p w:rsidR="00A10DA8" w:rsidRDefault="00A10DA8">
      <w:pPr>
        <w:spacing w:after="0" w:line="240" w:lineRule="auto"/>
        <w:rPr>
          <w:sz w:val="24"/>
          <w:szCs w:val="24"/>
          <w:lang w:eastAsia="ru-RU"/>
        </w:rPr>
      </w:pPr>
    </w:p>
    <w:p w:rsidR="00A10DA8" w:rsidRDefault="00CA7E8A">
      <w:pPr>
        <w:widowControl w:val="0"/>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Согласно п. 9.1 ст. 9 Устава Общества органами управления Общества являются:</w:t>
      </w:r>
    </w:p>
    <w:p w:rsidR="00A10DA8" w:rsidRDefault="00CA7E8A">
      <w:pPr>
        <w:widowControl w:val="0"/>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Общее собрание акционеров; </w:t>
      </w:r>
    </w:p>
    <w:p w:rsidR="00A10DA8" w:rsidRDefault="00CA7E8A">
      <w:pPr>
        <w:widowControl w:val="0"/>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Совет директоров; </w:t>
      </w:r>
    </w:p>
    <w:p w:rsidR="00A10DA8" w:rsidRDefault="00CA7E8A">
      <w:pPr>
        <w:widowControl w:val="0"/>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Правление;</w:t>
      </w:r>
    </w:p>
    <w:p w:rsidR="00A10DA8" w:rsidRDefault="00CA7E8A">
      <w:pPr>
        <w:widowControl w:val="0"/>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Генеральный директор.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Согласно п. 9.2 ст. 9 Устава Общества органом контроля за финансово-хозяйственной деятельностью Общества является Ревизионная комиссия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Корпоративное управление в Обществе построено на соблюдении Обществом законодательства Российской Федерации, основывается на уважении прав и законных интересов акционеров, направлено на повышение эффективности деятельности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Деятельность органов управления и контроля Общества регулируется Федеральным законом от 26.12.1995 № 208-ФЗ «Об акционерных обществах» (далее – Федеральный закон «Об акционерных обществах»), Гражданским Кодексом Российской Федерации, Уставом АО</w:t>
      </w:r>
      <w:r>
        <w:rPr>
          <w:rFonts w:ascii="Times New Roman" w:hAnsi="Times New Roman" w:cs="Times New Roman"/>
          <w:sz w:val="24"/>
          <w:szCs w:val="24"/>
          <w:lang w:val="en-US"/>
        </w:rPr>
        <w:t> </w:t>
      </w:r>
      <w:r>
        <w:rPr>
          <w:rFonts w:ascii="Times New Roman" w:hAnsi="Times New Roman" w:cs="Times New Roman"/>
          <w:sz w:val="24"/>
          <w:szCs w:val="24"/>
        </w:rPr>
        <w:t>«Чеченэнерго», утвержденным решением внеочередного Общего собрания акционеров 29.10.2024 (протокол от 29.10.2024 №29)</w:t>
      </w:r>
      <w:r>
        <w:rPr>
          <w:rStyle w:val="afe"/>
          <w:rFonts w:ascii="Times New Roman" w:hAnsi="Times New Roman" w:cs="Times New Roman"/>
          <w:sz w:val="24"/>
          <w:szCs w:val="24"/>
        </w:rPr>
        <w:footnoteReference w:id="11"/>
      </w:r>
      <w:r>
        <w:rPr>
          <w:rFonts w:ascii="Times New Roman" w:hAnsi="Times New Roman" w:cs="Times New Roman"/>
          <w:sz w:val="24"/>
          <w:szCs w:val="24"/>
        </w:rPr>
        <w:t>, следующими внутренними документами: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об Общем собрании акционеров АО «Чеченэнерго», утвержденным решением годового Общего собрания акционеров 21.06.2019 (протокол от 24.06.2019 № 19);</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 Совете директоров АО «Чеченэнерго», утвержденным решением годового Общего собрания акционеров 29.05.2020 (протокол от 29.05.2020 № 21);</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 Правлении АО «Чеченэнерго», утвержденным решением годового Общего собрания акционеров 19.05.2021 (протокол от 20.05.2021 № 23);</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 Ревизионной комиссии АО «Чеченэнерго», утвержденным решением годового Общего собрания акционеров 22.06.2022 (протокол от 22.06.2022 № 25);</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 выплате членам Совета директоров АО «Чеченэнерго» вознаграждений и компенсаций, утвержденным решением годового Общего собрания акционеров 21.06.2019 (протокол от 24.06.2019 № 19);</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Положением о выплате членам Ревизионной комиссии АО «Чеченэнерго» вознаграждений и компенсаций, утвержденным решением годового Общего собрания акционеров 01.06.2018 (протокол от 04.06.2018 № 18).</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Общество обеспечивает соблюдение прав и законных интересов акционеров Общества, инвесторов и других заинтересованных лиц, руководствуясь в своей деятельности следующими принципами: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обеспечение прав акционеров и других заинтересованных сторон, основанное на четком соблюдении норм законодательства Российской Федерации;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раскрытие Обществом информации о своей деятельности в объеме, достаточном для принятия акционерами и другими заинтересованными сторонами взвешенных решений;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повышение качества корпоративного управления в Обществе;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выполнение обязательств перед акционерами и кредиторами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Указанные принципы корпоративного управления Общества обеспечивают:</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возможность осуществления акционерами своих прав, связанных с участием в Обществе на основе: </w:t>
      </w:r>
    </w:p>
    <w:p w:rsidR="00A10DA8" w:rsidRDefault="00CA7E8A">
      <w:pPr>
        <w:spacing w:after="0" w:line="240" w:lineRule="auto"/>
        <w:ind w:right="-142" w:firstLine="1134"/>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обеспечения прав акционеров на участие в управлении Обществом, в том числе путем принятия решений по вопросам деятельности Общества на Общем собрании акционеров;</w:t>
      </w:r>
    </w:p>
    <w:p w:rsidR="00A10DA8" w:rsidRDefault="00CA7E8A">
      <w:pPr>
        <w:spacing w:after="0" w:line="240" w:lineRule="auto"/>
        <w:ind w:right="-142" w:firstLine="1134"/>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получения информации о деятельности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возможность получения акционерами эффективной защиты в случае нарушения их прав;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осуществление Советом директоров стратегического управления деятельностью Общества и эффективного контроля с его стороны за деятельностью исполнительного органа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подотчетность исполнительного органа Общества Совету директоров и акционерам;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эффективный контроль и оценку Советом директоров качества управления финансово-хозяйственной деятельностью Общества посредством ежеквартальных отчетов об исполнении утвержденных Советом директоров бизнес-планов.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Несмотря на то, что ценные бумаги Общества не допущены к организованным торгам, Общество стремится следовать отдельным рекомендациям и принципам Кодекса корпоративного управления, одобренного Советом директоров Банка России 21.03.2014 (письмо Банка России от 10.04.2014 № 06-52/2463).</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В 2024 году Общество публиковало информацию о своей деятельности на сайте Общества в сети Интернет </w:t>
      </w:r>
      <w:hyperlink r:id="rId38" w:tooltip="http://www.chechenergo.ru" w:history="1">
        <w:r>
          <w:rPr>
            <w:rStyle w:val="afb"/>
            <w:rFonts w:ascii="Times New Roman" w:hAnsi="Times New Roman" w:cs="Times New Roman"/>
            <w:sz w:val="24"/>
            <w:szCs w:val="24"/>
          </w:rPr>
          <w:t>http://www.chechenergo.ru</w:t>
        </w:r>
      </w:hyperlink>
      <w:r>
        <w:rPr>
          <w:rFonts w:ascii="Times New Roman" w:hAnsi="Times New Roman" w:cs="Times New Roman"/>
          <w:sz w:val="24"/>
          <w:szCs w:val="24"/>
        </w:rPr>
        <w:t>.</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Основными изменениями в области корпоративного управления Общества в 2024 году являются:</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избрание Совета директоров и Ревизионной комиссии Общества в новых составах;</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утверждение Устава Общества в новой редакции.</w:t>
      </w:r>
    </w:p>
    <w:p w:rsidR="00A10DA8" w:rsidRDefault="00CA7E8A">
      <w:pPr>
        <w:spacing w:after="0" w:line="240" w:lineRule="auto"/>
        <w:ind w:firstLine="709"/>
        <w:jc w:val="both"/>
        <w:rPr>
          <w:sz w:val="24"/>
          <w:szCs w:val="24"/>
          <w:lang w:eastAsia="ru-RU"/>
        </w:rPr>
      </w:pPr>
      <w:r>
        <w:rPr>
          <w:rFonts w:ascii="Times New Roman" w:hAnsi="Times New Roman" w:cs="Times New Roman"/>
          <w:sz w:val="24"/>
          <w:szCs w:val="24"/>
        </w:rPr>
        <w:t>Оценка уровня корпоративного управления в Обществе в 2024 году не проводилась.</w:t>
      </w:r>
    </w:p>
    <w:p w:rsidR="00A10DA8" w:rsidRDefault="00A10DA8">
      <w:pPr>
        <w:spacing w:after="0" w:line="240" w:lineRule="auto"/>
        <w:rPr>
          <w:sz w:val="24"/>
          <w:szCs w:val="24"/>
          <w:lang w:eastAsia="ru-RU"/>
        </w:rPr>
      </w:pPr>
    </w:p>
    <w:p w:rsidR="00A10DA8" w:rsidRDefault="00CA7E8A">
      <w:pPr>
        <w:pStyle w:val="1"/>
        <w:ind w:firstLine="709"/>
      </w:pPr>
      <w:bookmarkStart w:id="38" w:name="_Toc195780432"/>
      <w:r>
        <w:t>Общее собрание акционеров</w:t>
      </w:r>
      <w:bookmarkEnd w:id="38"/>
      <w:r>
        <w:t xml:space="preserve"> </w:t>
      </w:r>
    </w:p>
    <w:p w:rsidR="00A10DA8" w:rsidRDefault="00A10DA8">
      <w:pPr>
        <w:spacing w:after="0" w:line="240" w:lineRule="auto"/>
        <w:rPr>
          <w:sz w:val="24"/>
          <w:szCs w:val="24"/>
          <w:lang w:eastAsia="ru-RU"/>
        </w:rPr>
      </w:pPr>
    </w:p>
    <w:p w:rsidR="00A10DA8" w:rsidRDefault="00CA7E8A">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Общее собрание акционеров является высшим органом управления АО «Чеченэнерго». </w:t>
      </w:r>
    </w:p>
    <w:p w:rsidR="00A10DA8" w:rsidRDefault="00CA7E8A">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Компетенция Общего собрания акционеров установлена ст. 48 Федерального закона «Об акционерных обществах» и ст. 10 Устава АО «Чеченэнерго».</w:t>
      </w:r>
    </w:p>
    <w:p w:rsidR="00A10DA8" w:rsidRDefault="00CA7E8A">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Руководствуясь ст. 47 Федерального закона «Об акционерных обществах», Общество обязано ежегодно проводить годовое Общее собрание акционеров.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отчетном году проведено два Общих собрания акционеров Общества – годовое и внеочередное.</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На годовом Общем собрании акционеров Общества, состоявшемся 29.05.2024 (протокол от 29.05.2024 № 28), были приняты следующие решения:</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утвердить годовой отчет, годовую бухгалтерскую (финансовую) отчетность Общества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распределение прибыли (убытков) Общества за 2023 отчетный год;</w:t>
      </w:r>
    </w:p>
    <w:p w:rsidR="00A10DA8" w:rsidRDefault="00CA7E8A">
      <w:pPr>
        <w:widowControl w:val="0"/>
        <w:tabs>
          <w:tab w:val="left" w:pos="0"/>
          <w:tab w:val="left" w:pos="318"/>
          <w:tab w:val="left" w:pos="851"/>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выплачивать дивиденды по обыкновенным акциям Общества по итогам 2023 года, в связи с убытком, полученным АО «Чеченэнерго» по результатам 2023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избрать Совет директоров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избрать Ревизионную комиссию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назначить аудиторской организацией АО «Чеченэнерго» объединение аудиторов (коллективного участника) в составе ООО «ЦАТР – аудиторские услуги» (лидер коллективного участника) (ИНН 7709383532, КПП 770501001, адрес: 115035, город Москва, Садовническая набережная, дом 77, строение 1) и ООО «Интерком-Аудит»» (ИНН 7729744770, КПП 771401001, адрес: город Москва, улица 3-я Ямского Поля, дом 2, корпус 13, этаж 7, помещение </w:t>
      </w:r>
      <w:r>
        <w:rPr>
          <w:rFonts w:ascii="Times New Roman" w:hAnsi="Times New Roman" w:cs="Times New Roman"/>
          <w:sz w:val="24"/>
          <w:szCs w:val="24"/>
          <w:lang w:val="en-US"/>
        </w:rPr>
        <w:t>XV</w:t>
      </w:r>
      <w:r>
        <w:rPr>
          <w:rFonts w:ascii="Times New Roman" w:hAnsi="Times New Roman" w:cs="Times New Roman"/>
          <w:sz w:val="24"/>
          <w:szCs w:val="24"/>
        </w:rPr>
        <w:t>, комната 6) (член коллективного участника).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На внеочередном Общем собрании акционеров Общества, состоявшемся 29.10.2024 (протокол от 29.10.2024 № 29), были приняты следующие решения:</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определить, что количество объявленных обыкновенных акций, которое АО «Чеченэнерго» вправе разместить дополнительно к размещенным обыкновенным акциям, составляет 12 394 172 997 штук номинальной стоимостью 1 (Один) руб. каждая на общую сумму по номинальной стоимости 12 394 172 997 руб. Обыкновенные акции, объявленные АО «Чеченэнерго» к размещению, предоставляют их владельцам права, предусмотренные пунктом 6.2 Устава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Устав Общества в новой редакции;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внести изменения в решение годового Общего собрания акционеров АО «Чеченэнерго» от 06.06.2023 (протокол от 07.06.2023 № 27) по вопросу № 8 «Об увеличении уставного капитала АО «Чеченэнерго» путем размещения дополнительных акций», изложив первый абзац решения в следующей редакции: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«Увеличить уставный капитал АО «Чеченэнерго» путем размещения дополнительных обыкновенных акций в количестве 12 394 172 997 (Двенадцать миллиардов триста девяносто четыре миллиона сто семьдесят две тысячи девятьсот девяносто семь) штук номинальной стоимостью 1 (Один) рубль каждая на общую сумму по номинальной стоимости 12 394 172 997 (Двенадцать миллиардов триста девяносто четыре миллиона сто семьдесят две тысячи девятьсот девяносто семь) рублей на следующих основных условиях:».</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Все вопросы, внесенные в повестку дня годового и внеочередного Общих собраний акционеров, были рассмотрены, по итогам голосования решения по ним были приняты.</w:t>
      </w:r>
    </w:p>
    <w:p w:rsidR="00A10DA8" w:rsidRDefault="00A10DA8">
      <w:pPr>
        <w:tabs>
          <w:tab w:val="left" w:pos="993"/>
        </w:tabs>
        <w:spacing w:after="0" w:line="240" w:lineRule="auto"/>
        <w:ind w:right="-143" w:firstLine="709"/>
        <w:jc w:val="both"/>
        <w:rPr>
          <w:rFonts w:ascii="Times New Roman" w:eastAsiaTheme="majorEastAsia" w:hAnsi="Times New Roman" w:cs="Times New Roman"/>
          <w:b/>
          <w:sz w:val="24"/>
          <w:szCs w:val="24"/>
          <w:lang w:eastAsia="ru-RU"/>
        </w:rPr>
      </w:pPr>
      <w:bookmarkStart w:id="39" w:name="_Toc473537023"/>
    </w:p>
    <w:p w:rsidR="00A10DA8" w:rsidRDefault="00CA7E8A">
      <w:pPr>
        <w:tabs>
          <w:tab w:val="left" w:pos="993"/>
        </w:tabs>
        <w:spacing w:after="0" w:line="240" w:lineRule="auto"/>
        <w:ind w:right="-143" w:firstLine="709"/>
        <w:jc w:val="both"/>
        <w:rPr>
          <w:rFonts w:ascii="Times New Roman" w:hAnsi="Times New Roman" w:cs="Times New Roman"/>
          <w:b/>
          <w:sz w:val="24"/>
          <w:szCs w:val="24"/>
        </w:rPr>
      </w:pPr>
      <w:r>
        <w:rPr>
          <w:rFonts w:ascii="Times New Roman" w:eastAsiaTheme="majorEastAsia" w:hAnsi="Times New Roman" w:cs="Times New Roman"/>
          <w:b/>
          <w:sz w:val="24"/>
          <w:szCs w:val="24"/>
          <w:lang w:eastAsia="ru-RU"/>
        </w:rPr>
        <w:t>Совет директоров Общества</w:t>
      </w:r>
      <w:bookmarkEnd w:id="39"/>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Совет директоров является коллегиальным органом управления, контролирующим деятельность исполнительных органов Общества и выполняющим иные функции, возложенные на него законом и Уставом Общества. </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Совет директоров Общества осуществляет общее руководство деятельностью Общества, за исключением решения вопросов, отнесенных Федеральным законом «Об акционерных обществах» и Уставом к компетенции Общего собрания акционеров.</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Компетенция Совета директоров установлена статьей 65 Федерального закона «Об</w:t>
      </w:r>
      <w:r>
        <w:rPr>
          <w:rFonts w:ascii="Times New Roman" w:eastAsia="Calibri" w:hAnsi="Times New Roman" w:cs="Times New Roman"/>
          <w:sz w:val="24"/>
          <w:szCs w:val="24"/>
          <w:lang w:val="en-US"/>
        </w:rPr>
        <w:t> </w:t>
      </w:r>
      <w:r>
        <w:rPr>
          <w:rFonts w:ascii="Times New Roman" w:eastAsia="Calibri" w:hAnsi="Times New Roman" w:cs="Times New Roman"/>
          <w:sz w:val="24"/>
          <w:szCs w:val="24"/>
        </w:rPr>
        <w:t>акционерных обществах» и статьей 15 Устава Общества.</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Вопросы, отнесенные к компетенции Совета директоров, не могут быть переданы на решение Генеральному директору и Правлению Общества.</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Уставом Общества численный состав Совета директоров определен в количестве 6 человек.</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На годовом Общем собрании акционеров, состоявшемся 29.05.2024 (протокол от 29.05.2024 № 28), из 6 кандидатов в члены Совета директоров по предложению акционера – Чеченской Республики в лице Министерства имущественных и земельных отношений </w:t>
      </w:r>
      <w:r>
        <w:rPr>
          <w:rFonts w:ascii="Times New Roman" w:eastAsia="Calibri" w:hAnsi="Times New Roman" w:cs="Times New Roman"/>
          <w:sz w:val="24"/>
          <w:szCs w:val="24"/>
        </w:rPr>
        <w:lastRenderedPageBreak/>
        <w:t xml:space="preserve">Чеченской Республики, в состав Совета директоров были избраны 2 члена Совета директоров. </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отчетном году действовало два состава Совета директоров.</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Действующий персональный состав Совета директоров АО «Чеченэнерго»,</w:t>
      </w: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избранный годовым Общим собранием акционеров 29.05.2024 </w:t>
      </w: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(протокол от 29.05.2024 № 28)</w:t>
      </w:r>
    </w:p>
    <w:tbl>
      <w:tblPr>
        <w:tblW w:w="90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0"/>
        <w:gridCol w:w="5387"/>
      </w:tblGrid>
      <w:tr w:rsidR="00A10DA8">
        <w:trPr>
          <w:cantSplit/>
          <w:trHeight w:hRule="exact" w:val="655"/>
        </w:trPr>
        <w:tc>
          <w:tcPr>
            <w:tcW w:w="3710" w:type="dxa"/>
            <w:shd w:val="clear" w:color="auto" w:fill="FFFFFF"/>
            <w:vAlign w:val="center"/>
          </w:tcPr>
          <w:p w:rsidR="00A10DA8" w:rsidRDefault="00CA7E8A">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Ф.И.О., Должность  на момент выдвижения</w:t>
            </w:r>
          </w:p>
        </w:tc>
        <w:tc>
          <w:tcPr>
            <w:tcW w:w="5387" w:type="dxa"/>
            <w:shd w:val="clear" w:color="auto" w:fill="FFFFFF"/>
            <w:vAlign w:val="center"/>
          </w:tcPr>
          <w:p w:rsidR="00A10DA8" w:rsidRDefault="00CA7E8A">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Дата рождения, гражданство, образование</w:t>
            </w:r>
          </w:p>
        </w:tc>
      </w:tr>
      <w:tr w:rsidR="00A10DA8">
        <w:trPr>
          <w:cantSplit/>
          <w:trHeight w:hRule="exact" w:val="2336"/>
        </w:trPr>
        <w:tc>
          <w:tcPr>
            <w:tcW w:w="3710"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Кадиров Иса Салаудинович,</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Управляющий директор АО «Чеченэнерго», Председатель Совета директора АО «Чеченэнерго»</w:t>
            </w:r>
          </w:p>
        </w:tc>
        <w:tc>
          <w:tcPr>
            <w:tcW w:w="5387" w:type="dxa"/>
            <w:shd w:val="clear" w:color="auto" w:fill="FFFFFF"/>
            <w:vAlign w:val="center"/>
          </w:tcPr>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05.06.1969</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 xml:space="preserve">Образование: Высшее </w:t>
            </w:r>
          </w:p>
          <w:p w:rsidR="00A10DA8" w:rsidRDefault="00CA7E8A">
            <w:pPr>
              <w:pStyle w:val="aff"/>
              <w:numPr>
                <w:ilvl w:val="0"/>
                <w:numId w:val="10"/>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Чеченский государственный университет, специальность юриспруденция, квалификация юрист, 1997 год окончания</w:t>
            </w:r>
          </w:p>
          <w:p w:rsidR="00A10DA8" w:rsidRDefault="00CA7E8A">
            <w:pPr>
              <w:pStyle w:val="aff"/>
              <w:numPr>
                <w:ilvl w:val="0"/>
                <w:numId w:val="10"/>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ФРАУ УВО «Северо-Кавказский федеральный университет» г. Пятигорск, переквалификация по специальности «Электроэнергетика и электротехника», 2018 год окончания</w:t>
            </w:r>
          </w:p>
        </w:tc>
      </w:tr>
      <w:tr w:rsidR="00A10DA8">
        <w:trPr>
          <w:cantSplit/>
          <w:trHeight w:hRule="exact" w:val="1017"/>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Боев Сергей Владимирович,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Первый заместитель начальника Департамента обеспечения безопасности ПАО «Россети»</w:t>
            </w:r>
          </w:p>
        </w:tc>
        <w:tc>
          <w:tcPr>
            <w:tcW w:w="5387" w:type="dxa"/>
            <w:shd w:val="clear" w:color="auto" w:fill="FFFFFF"/>
            <w:vAlign w:val="center"/>
          </w:tcPr>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30.08.1979</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jc w:val="both"/>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Высшее, Курский филиал Орловского юридического института МВД России, юрист, 2003</w:t>
            </w:r>
          </w:p>
        </w:tc>
      </w:tr>
      <w:tr w:rsidR="00A10DA8">
        <w:trPr>
          <w:cantSplit/>
          <w:trHeight w:hRule="exact" w:val="1272"/>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Айметов Рустем Рафаэльевич,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Начальник Департамента взаимодействия с клиентами и рынком ПАО «Россети»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28.06.1978</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Самарский государственный технический университет, специальность – электроэнергетические системы и сети</w:t>
            </w:r>
          </w:p>
        </w:tc>
      </w:tr>
      <w:tr w:rsidR="00A10DA8">
        <w:trPr>
          <w:cantSplit/>
          <w:trHeight w:hRule="exact" w:val="2410"/>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Уколов Владимир Анатольевич,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Заместитель главного инженера – главный диспетчер ПАО «Россети»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22.04.1983</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Образование: Высшее</w:t>
            </w:r>
          </w:p>
          <w:p w:rsidR="00A10DA8" w:rsidRDefault="00CA7E8A">
            <w:pPr>
              <w:pStyle w:val="aff"/>
              <w:numPr>
                <w:ilvl w:val="0"/>
                <w:numId w:val="12"/>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Иркутский государственный технический университет, специальность «Электрические станции, квалификация «Инженер»</w:t>
            </w:r>
          </w:p>
          <w:p w:rsidR="00A10DA8" w:rsidRDefault="00CA7E8A">
            <w:pPr>
              <w:pStyle w:val="aff"/>
              <w:numPr>
                <w:ilvl w:val="0"/>
                <w:numId w:val="12"/>
              </w:numPr>
              <w:ind w:left="0" w:firstLine="0"/>
              <w:jc w:val="both"/>
              <w:rPr>
                <w:rFonts w:ascii="Times New Roman" w:hAnsi="Times New Roman" w:cs="Times New Roman"/>
                <w:sz w:val="20"/>
                <w:szCs w:val="20"/>
              </w:rPr>
            </w:pPr>
            <w:r>
              <w:rPr>
                <w:rFonts w:ascii="Times New Roman" w:hAnsi="Times New Roman" w:cs="Times New Roman"/>
                <w:bCs/>
                <w:color w:val="000000"/>
                <w:sz w:val="20"/>
                <w:szCs w:val="20"/>
              </w:rPr>
              <w:t>Байкальский государственный университет экономики и права, специальность «Прикладная информатика в экономике», квалификация «Информатик-экономист»</w:t>
            </w:r>
          </w:p>
        </w:tc>
      </w:tr>
      <w:tr w:rsidR="00A10DA8">
        <w:trPr>
          <w:cantSplit/>
          <w:trHeight w:hRule="exact" w:val="1096"/>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Мисерханов Лукман Хасанович,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Заместитель министра промышленности и энергетики Чеченской Республики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информация не предоставлена</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 xml:space="preserve">Гражданство: Российская Федерация </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информация не предоставлена</w:t>
            </w:r>
          </w:p>
        </w:tc>
      </w:tr>
      <w:tr w:rsidR="00A10DA8">
        <w:trPr>
          <w:cantSplit/>
          <w:trHeight w:hRule="exact" w:val="1264"/>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Жумаев Лом-Али Нажаевич,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Помощник Председателя Правительства Чеченской Республики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20.04.1990</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Высшее, Северо-Кавказский федеральной университет по специальности «Налоги и налогообложение», 2013 год окончания</w:t>
            </w:r>
          </w:p>
        </w:tc>
      </w:tr>
    </w:tbl>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Персональный состав Совета директоров АО «Чеченэнерго»,</w:t>
      </w: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избранный годовым Общим собранием акционеров 06.06.2023 </w:t>
      </w:r>
    </w:p>
    <w:p w:rsidR="00A10DA8" w:rsidRDefault="00CA7E8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(протокол от 07.06.2023 № 27)</w:t>
      </w:r>
    </w:p>
    <w:tbl>
      <w:tblPr>
        <w:tblW w:w="90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0"/>
        <w:gridCol w:w="5387"/>
      </w:tblGrid>
      <w:tr w:rsidR="00A10DA8">
        <w:trPr>
          <w:cantSplit/>
          <w:trHeight w:hRule="exact" w:val="655"/>
        </w:trPr>
        <w:tc>
          <w:tcPr>
            <w:tcW w:w="3710" w:type="dxa"/>
            <w:shd w:val="clear" w:color="auto" w:fill="FFFFFF"/>
            <w:vAlign w:val="center"/>
          </w:tcPr>
          <w:p w:rsidR="00A10DA8" w:rsidRDefault="00CA7E8A">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Ф.И.О., Должность  на момент выдвижения</w:t>
            </w:r>
          </w:p>
        </w:tc>
        <w:tc>
          <w:tcPr>
            <w:tcW w:w="5387" w:type="dxa"/>
            <w:shd w:val="clear" w:color="auto" w:fill="FFFFFF"/>
            <w:vAlign w:val="center"/>
          </w:tcPr>
          <w:p w:rsidR="00A10DA8" w:rsidRDefault="00CA7E8A">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Дата рождения, гражданство, образование</w:t>
            </w:r>
          </w:p>
        </w:tc>
      </w:tr>
      <w:tr w:rsidR="00A10DA8">
        <w:trPr>
          <w:cantSplit/>
          <w:trHeight w:hRule="exact" w:val="2378"/>
        </w:trPr>
        <w:tc>
          <w:tcPr>
            <w:tcW w:w="3710"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lastRenderedPageBreak/>
              <w:t>Кадиров Иса Салаудинович,</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Управляющий директор АО «Чеченэнерго», Председатель Совета директора АО «Чеченэнерго»</w:t>
            </w:r>
          </w:p>
        </w:tc>
        <w:tc>
          <w:tcPr>
            <w:tcW w:w="5387" w:type="dxa"/>
            <w:shd w:val="clear" w:color="auto" w:fill="FFFFFF"/>
            <w:vAlign w:val="center"/>
          </w:tcPr>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05.06.1969</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 xml:space="preserve">Образование: Высшее </w:t>
            </w:r>
          </w:p>
          <w:p w:rsidR="00A10DA8" w:rsidRDefault="00CA7E8A">
            <w:pPr>
              <w:pStyle w:val="aff"/>
              <w:numPr>
                <w:ilvl w:val="0"/>
                <w:numId w:val="18"/>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Чеченский государственный университет, специальность юриспруденция, квалификация юрист, 1997 год окончания</w:t>
            </w:r>
          </w:p>
          <w:p w:rsidR="00A10DA8" w:rsidRDefault="00CA7E8A">
            <w:pPr>
              <w:pStyle w:val="aff"/>
              <w:numPr>
                <w:ilvl w:val="0"/>
                <w:numId w:val="18"/>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ФРАУ УВО «Северо-Кавказский федеральный университет» г. Пятигорск, переквалификация по специальности «Электроэнергетика и электротехника», 2018 год окончания</w:t>
            </w:r>
          </w:p>
        </w:tc>
      </w:tr>
      <w:tr w:rsidR="00A10DA8">
        <w:trPr>
          <w:cantSplit/>
          <w:trHeight w:hRule="exact" w:val="1017"/>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Боев Сергей Владимирович,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Первый заместитель начальника Департамента обеспечения безопасности ПАО «Россети»</w:t>
            </w:r>
          </w:p>
        </w:tc>
        <w:tc>
          <w:tcPr>
            <w:tcW w:w="5387" w:type="dxa"/>
            <w:shd w:val="clear" w:color="auto" w:fill="FFFFFF"/>
            <w:vAlign w:val="center"/>
          </w:tcPr>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30.08.1979</w:t>
            </w:r>
          </w:p>
          <w:p w:rsidR="00A10DA8" w:rsidRDefault="00CA7E8A">
            <w:pPr>
              <w:spacing w:after="0" w:line="240"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jc w:val="both"/>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Высшее, Курский филиал Орловского юридического института МВД России, юрист, 2003</w:t>
            </w:r>
          </w:p>
        </w:tc>
      </w:tr>
      <w:tr w:rsidR="00A10DA8">
        <w:trPr>
          <w:cantSplit/>
          <w:trHeight w:hRule="exact" w:val="1272"/>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Айметов Рустем Рафаэльевич,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Начальник Департамента взаимодействия с клиентами и рынком ПАО «Россети»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28.06.1978</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Самарский государственный технический университет, специальность – электроэнергетические системы и сети</w:t>
            </w:r>
          </w:p>
        </w:tc>
      </w:tr>
      <w:tr w:rsidR="00A10DA8">
        <w:trPr>
          <w:cantSplit/>
          <w:trHeight w:hRule="exact" w:val="2410"/>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Уколов Владимир Анатольевич,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Руководитель ситуационно - аналитического центра ПАО «Россети»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22.04.1983</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Образование: Высшее</w:t>
            </w:r>
          </w:p>
          <w:p w:rsidR="00A10DA8" w:rsidRDefault="00CA7E8A">
            <w:pPr>
              <w:pStyle w:val="aff"/>
              <w:numPr>
                <w:ilvl w:val="0"/>
                <w:numId w:val="19"/>
              </w:numPr>
              <w:ind w:left="0" w:firstLine="0"/>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Иркутский государственный технический университет, специальность «Электрические станции, квалификация «Инженер»</w:t>
            </w:r>
          </w:p>
          <w:p w:rsidR="00A10DA8" w:rsidRDefault="00CA7E8A">
            <w:pPr>
              <w:pStyle w:val="aff"/>
              <w:numPr>
                <w:ilvl w:val="0"/>
                <w:numId w:val="19"/>
              </w:numPr>
              <w:ind w:left="0" w:firstLine="0"/>
              <w:jc w:val="both"/>
              <w:rPr>
                <w:rFonts w:ascii="Times New Roman" w:hAnsi="Times New Roman" w:cs="Times New Roman"/>
                <w:sz w:val="20"/>
                <w:szCs w:val="20"/>
              </w:rPr>
            </w:pPr>
            <w:r>
              <w:rPr>
                <w:rFonts w:ascii="Times New Roman" w:hAnsi="Times New Roman" w:cs="Times New Roman"/>
                <w:bCs/>
                <w:color w:val="000000"/>
                <w:sz w:val="20"/>
                <w:szCs w:val="20"/>
              </w:rPr>
              <w:t>Байкальский государственный университет экономики и права, специальность «Прикладная информатика в экономике», квалификация «Информатик-экономист»</w:t>
            </w:r>
          </w:p>
        </w:tc>
      </w:tr>
      <w:tr w:rsidR="00A10DA8">
        <w:trPr>
          <w:cantSplit/>
          <w:trHeight w:hRule="exact" w:val="1707"/>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Хакимов Адам Салаудинович,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Министр промышленности и энергетики Чеченской Республики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09.08.1970</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Образование: Высшее, Академия налоговой полиции Федеральной службы налоговой полиции Российской Федерации г. Пятигорск, специализация юриспруденция, квалификация юрист, 2001 год окончания</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Кандидат экономических наук</w:t>
            </w:r>
          </w:p>
        </w:tc>
      </w:tr>
      <w:tr w:rsidR="00A10DA8">
        <w:trPr>
          <w:cantSplit/>
          <w:trHeight w:hRule="exact" w:val="1264"/>
        </w:trPr>
        <w:tc>
          <w:tcPr>
            <w:tcW w:w="3710" w:type="dxa"/>
            <w:shd w:val="clear" w:color="auto" w:fill="FFFFFF"/>
            <w:vAlign w:val="cente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Жумаев Лом-Али Нажаевич, </w:t>
            </w:r>
          </w:p>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Помощник Председателя Правительства Чеченской Республики</w:t>
            </w:r>
          </w:p>
        </w:tc>
        <w:tc>
          <w:tcPr>
            <w:tcW w:w="5387" w:type="dxa"/>
            <w:shd w:val="clear" w:color="auto" w:fill="FFFFFF"/>
            <w:vAlign w:val="center"/>
          </w:tcPr>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Дата рождения: 20.04.1990</w:t>
            </w:r>
          </w:p>
          <w:p w:rsidR="00A10DA8" w:rsidRDefault="00CA7E8A">
            <w:pPr>
              <w:spacing w:after="0" w:line="240" w:lineRule="auto"/>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Гражданство: Российская Федерация</w:t>
            </w:r>
          </w:p>
          <w:p w:rsidR="00A10DA8" w:rsidRDefault="00CA7E8A">
            <w:pPr>
              <w:spacing w:after="0" w:line="240" w:lineRule="auto"/>
              <w:rPr>
                <w:rFonts w:ascii="Times New Roman" w:hAnsi="Times New Roman" w:cs="Times New Roman"/>
                <w:sz w:val="20"/>
                <w:szCs w:val="20"/>
              </w:rPr>
            </w:pPr>
            <w:r>
              <w:rPr>
                <w:rFonts w:ascii="Times New Roman" w:eastAsia="Calibri" w:hAnsi="Times New Roman" w:cs="Times New Roman"/>
                <w:bCs/>
                <w:color w:val="000000"/>
                <w:sz w:val="20"/>
                <w:szCs w:val="20"/>
              </w:rPr>
              <w:t>Образование: Высшее, Северо-Кавказский федеральной университет по специальности «Налоги и налогообложение», 2013 год окончания</w:t>
            </w:r>
          </w:p>
        </w:tc>
      </w:tr>
    </w:tbl>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Избрание членов Совета директоров осуществляется посредством процедуры (в соответствии с Уставом Общества), позволяющей акционерам получить информацию о кандидатах, достаточную для формирования представления об их личных и профессиональных качествах. Сведения о кандидатах, а также об акционерах, предложивших кандидатуры для включения в список для голосования по выборам в Совет директоров, размещаются на сайте Общества в разделах «Акционерам и инвесторам/Корпоративное управление/Общее собрание акционеров/Материалы к общим собраниям акционеров» и «Акционерам и инвесторам/Корпоративное управление/Совет директоров/Состав Совета директоров».</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в состав Совета директоров независимые директора не избирались.</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отчетном году страховая защита членов Совета директоров Общества обеспечивалась в рамках договора страхования ответственности директоров и должностных лиц (D&amp;O) от 23.10.2023 № 23 DO 0020, заключенного ПАО «Россети» с коллективным участником: АО «СОГАЗ» (Лидер), САО «ВСК», АО «АльфаСтрахование», </w:t>
      </w:r>
      <w:r>
        <w:rPr>
          <w:rFonts w:ascii="Times New Roman" w:eastAsia="Calibri" w:hAnsi="Times New Roman" w:cs="Times New Roman"/>
          <w:sz w:val="24"/>
          <w:szCs w:val="24"/>
        </w:rPr>
        <w:lastRenderedPageBreak/>
        <w:t>ООО СК «Сбербанк страхование», сроком с 25.09.2023 по 24.09.2024, а также договора страхования ответственности директоров и должностных лиц (D&amp;O) от 25.11.2024 № 24 DO 0046, заключенного ПАО «Россети» с коллективным участником: АО «СОГАЗ» (Лидер), САО «ВСК», АО «АльфаСтрахование», ООО СК «Сбербанк страхование», сроком с 25.11.2024 по 24.11.2025, ретроактивная дата - 25.07.2014, общий размер страховой суммы - 6 млрд руб.</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специальная оценка работы Совета директоров не проводилась. Соответствующая методика оценки в Обществе не утверждена.</w:t>
      </w:r>
    </w:p>
    <w:p w:rsidR="00A10DA8" w:rsidRDefault="00CA7E8A">
      <w:pPr>
        <w:spacing w:after="0" w:line="240" w:lineRule="auto"/>
        <w:ind w:right="-142"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Общество не выдавало членам Совета директоров займы.</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2024 году Советом директоров не определялись приоритетные направления деятельности.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2024 году было проведено 29 заседаний Совета директоров, все в заочной форме, на которых был рассмотрен 101 вопрос, по которым были приняты следующие решения по ключевым вопросам: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кредитный план АО «Чеченэнерго» на 4 квартал 2023 года, 1, 2, 3 и 4 кварталы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об исполнении Плана (Программы) снижения потерь электрической энергии в электрических сетях АО «Чеченэнерго» на 2023-2027 гг. за 9 месяцев 2023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об итогах выполнения инвестиционной программы Общества за 9 месяцев 2023 года, 4 квартал 2023 года, 2023 год, 1 квартал 2024 года, 1 полугодие 2024 года, в том числе инвестиционных проектов, включенных в перечень приоритетных объектов;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АО «Чеченэнерго» к сведению отчет об исполнении бизнес-плана за 9 месяцев 2023 года, за 1 полугодие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в качестве страховщиков АО «Чеченэнерго» следующие страховые компании: Страхование от несчастных случаев и болезней / АО «СОГАЗ» / с 09.10.2023 по 08.11.2023, Страхование от несчастных случаев и болезней / АО «АльфаСтрахование» / с 09.11.2023 по 08.11.2026;</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смету расходов АО «Чеченэнерго» на 1, 2 квартал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План закупок АО «Чеченэнерго» на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Программу страховой защиты АО «Чеченэнерго» на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внести изменения в решение Совета директоров Общества по вопросу «Об утверждении Плана развития АО «Чеченэнерго» (в части приложения № 2 к протоколу заседания Совета директоров АО «Чеченэнерго» от 27.02.2023 № 292);</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управляющей организации об услугах, оказанных по договору от 03 .08.2009 N2 326/2009 о передаче полномочий единоличного исполнительного органа АО «Чеченэнерго», за 3, 4 кварталы 2023 года, 2023 года, 1, 2 и 3 кварталы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Программу реновации электросетевых объектов АО «Чеченэнерго» на 2024-2028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 результатах антикоррупционного мониторинга АО «Чеченэнерго» по итогам 2023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Стандарт проведения публичного технологического и ценового аудита инвестиционных проектов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в качестве страховщиков АО «Чеченэнерго» следующую страховую компанию: Страхование имущества / ООО СК «Сбербанк Страхование» с 28.01.2024 по 31.03.2025;</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 выполнении в 4 квартале 2023 года, 1, 2, 3 кварталах 2024 года решений, принятых на заседаниях Совета директоров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Экологическую политику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принять к сведению отчет единоличного исполнительного органа АО «Чеченэнерго» о текущей ситуации в деятельности АО «Чеченэнерго» по технологическому присоединению потребителей к электрическим сетям за 2023 года, 1 квартал 2024 года, 6 месяцев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об эффективном, целевом и своевременном использовании средств финансовой поддержки Плана развития АО «Чеченэнерго» за 4 квартал 2023 года, 1, 2 и 3 кварталы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одобрить договор о внесении вклада в имущество юридического лица, не увеличивающего его уставный капитал и не изменяющего номинальную стоимость акций, источником которого является субсидия из федерального бюджета, между АО</w:t>
      </w:r>
      <w:r>
        <w:rPr>
          <w:rFonts w:ascii="Times New Roman" w:hAnsi="Times New Roman" w:cs="Times New Roman"/>
          <w:sz w:val="24"/>
          <w:szCs w:val="24"/>
          <w:lang w:val="en-US"/>
        </w:rPr>
        <w:t> </w:t>
      </w:r>
      <w:r>
        <w:rPr>
          <w:rFonts w:ascii="Times New Roman" w:hAnsi="Times New Roman" w:cs="Times New Roman"/>
          <w:sz w:val="24"/>
          <w:szCs w:val="24"/>
        </w:rPr>
        <w:t>«Чеченэнерго» и ПАО «Россети»;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созвать годовое Общее собрание акционеров АО «Чеченэнерго» в форме заочного голосования;</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повестку дня годового Общего собрания акционеров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избрать секретарем годового Общего собрания акционеров АО «Чеченэнерго» Канцурову Наталью Сергеевну, главного эксперта Отдела корпоративного управления Департамента корпоративного управления и взаимодействия с акционерами ПАО «Россети Северный Кавказ», корпоративного секретаря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об обеспечении страховой защиты за 2023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 ходе реализации инвестиционных проектов Общества за 1 квартал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отчет о результатах реализации в 2023 году Программы модернизации (реновации) электросетевых объектов АО «Чеченэнерго» на 2023-2027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обеспечить безусловное выполнение мероприятий Программы реновации, реализация которых перенесена на 2024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бизнес-план АО «Чеченэнерго» на 2024 год и принять к сведению прогнозные показатели на 2025-2028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отчет о работе Корпоративного секретаря АО «Чеченэнерго» за 2023-2024 корпоративный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 кредитной политике АО «Чеченэнерго» по итогам 2023 года, 1, 2, 3 кварталы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об исполнении Плана (Программы) снижения потерь электрической энергии в электрических сетях АО «Чеченэнерго» на 2023- 2027 гг.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одобрить проект инвестиционной программы АО «Чеченэнерго» на период 2024-2028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информацию об отсутствии в АО «Чеченэнерго» непрофильных активов по состоянию на 31.12.2023;</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избрать Председателем Совета директоров АО «Чеченэнерго» Кадирова Ису Салаудиновича, управляющего директора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об организации, функционировании и эффективности системы управления рисками и внутреннего контроля АО «Чеченэнерго»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принять к сведению отчет об исполнении Дорожной карты по внедрению Стандартов качества обслуживания потребителей услуг АО «Чеченэнерго» за 2023 год, </w:t>
      </w:r>
      <w:r>
        <w:rPr>
          <w:rFonts w:ascii="Times New Roman" w:hAnsi="Times New Roman" w:cs="Times New Roman"/>
          <w:sz w:val="24"/>
          <w:szCs w:val="24"/>
          <w:lang w:val="en-US"/>
        </w:rPr>
        <w:t>I</w:t>
      </w:r>
      <w:r>
        <w:rPr>
          <w:rFonts w:ascii="Times New Roman" w:hAnsi="Times New Roman" w:cs="Times New Roman"/>
          <w:sz w:val="24"/>
          <w:szCs w:val="24"/>
        </w:rPr>
        <w:t xml:space="preserve"> полугодия 2024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информацию о соблюдении Стандартов качества обслуживания потребителей услуг АО «Чеченэнерго», включая достижение целевых показателей качества обслуживания потребителей,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определить размер оплаты услуг аудиторской организации АО «Чеченэнерго» - объединения аудиторов (коллективного участника) в составе ООО «ЦАТР - аудиторские услуги» (ИНН 7709383532) (лидер коллективного участника) и ООО «Интерком-Аудит» (ИНН 7729744770) (член коллективного участника) - по проведению обязательного </w:t>
      </w:r>
      <w:r>
        <w:rPr>
          <w:rFonts w:ascii="Times New Roman" w:hAnsi="Times New Roman" w:cs="Times New Roman"/>
          <w:sz w:val="24"/>
          <w:szCs w:val="24"/>
        </w:rPr>
        <w:lastRenderedPageBreak/>
        <w:t>ежегодного аудита бухгалтерской (финансовой) отчетности АО «Чеченэнерго», подготовленной в соответствии с РСБУ, за 2024 год в размере 270 312 (Двести семьдесят тысяч триста двенадцать) рублей 83 копейки, с учетом НДС (20 %);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информацию единоличного исполнительного органа АО «Чеченэнерго» по показателям уровня надежности оказываемых услуг по АО «Чеченэнерго», подлежащему тарифному регулированию на основе долгосрочных параметров регулирования деятельности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отчет об исполнении Плана закупок АО «Чеченэнерго»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 реализации мероприятий по установке приборов учета в рамках создания систем интеллектуального учета электроэнергии в электрических сетях АО «Чеченэнерго»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 расходовании средств на подготовку и проведение годового Общего собрания акционеров;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Политику антимонопольного комплаенса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организационную структуру исполнительного аппарата АО «Чеченэнерго» и ввести ее в действие с учетом сроков, предусмотренных законодательством Российской Федерации при изменении и прекращении трудовых договоров с работниками;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План работы Совета директоров АО «Чеченэнерго» на 2024-2025 корпоративный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внести изменения в Документ, содержащий условия размещения ценных бумаг Акционерного общества «Чеченэнерго» (регистрационный номер дополнительного выпуска 1-01-35075-Е-004D от 14 сентября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 причинах расхождений данных при формировании</w:t>
      </w:r>
      <w:r>
        <w:t xml:space="preserve"> </w:t>
      </w:r>
      <w:r>
        <w:rPr>
          <w:rFonts w:ascii="Times New Roman" w:hAnsi="Times New Roman" w:cs="Times New Roman"/>
          <w:sz w:val="24"/>
          <w:szCs w:val="24"/>
        </w:rPr>
        <w:t>отчетности по сетевой и сбытовой деятельности по объему и стоимости оказанных услуг и потерь электрической энергии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об исполнении бизнес-плана АО «Чеченэнерго» за 2023 год;</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созвать внеочередное Общее собрание акционеров АО «Чеченэнерго» в форме заочного голосования. Определить дату проведения внеочередного Общего собрания акционеров АО «Чеченэнерго» (дату окончания приема заполненных бюллетеней) - 29.10.2024;</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об исполнении Плана развития АО «Чеченэнерго» за 2023 год, за 1 полугодие 2024 года;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внести изменения и дополнения в План развития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показатели на 2024 года, указанные в Плане (Программе) снижения потерь электрической энергии в электрических сетях АО «Чеченэнерго» на 2024-2028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отчет единоличного исполнительного органа АО «Чеченэнерго» об итогах энергосбытовой деятельности Общества за 1, 2, 3, 4 кварталы 2023 года и l квартал 2024 года, в том числе о работе с дебиторской задолженностью;</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ключевые показатели эффективности и показатели депремирования АО «Чеченэнерго», их целевые и пороговые значения на 2024, 2025 и 2026 годы;</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функциональные ключевые показатели эффективности АО «Чеченэнерго», их целевые значения на 2024, 2025 и 2026 годы;</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промежуточные целевые значения ключевых показателей эффективности и функциональных ключевых показателей эффективности, промежуточные пороговые значения показателей депремирования АО «Чеченэнерго» на 2024 год нарастающим итогом;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утвердить минимальные и предельные значения ключевых показателей эффективности и функциональных ключевых показателей эффективности </w:t>
      </w:r>
      <w:r>
        <w:rPr>
          <w:rFonts w:ascii="Times New Roman" w:hAnsi="Times New Roman" w:cs="Times New Roman"/>
          <w:sz w:val="24"/>
          <w:szCs w:val="24"/>
        </w:rPr>
        <w:lastRenderedPageBreak/>
        <w:t>АО «Чеченэнерго» на 2024 год, которые учитываются при рассмотрении вопросов вознаграждения руководящему составу АО «Чеченэнерго»;</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принять к сведению Программу развития системы управления рисками и внутреннего контроля АО «Чеченэнэрго» на 2024-2025 гг.;</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утвердить организационную структуру исполнительного аппарата АО «Чеченэнерго» и ввести ее в действие с учетом сроков, предусмотренных законодательством Российской Федерации при изменении и прекращении трудовых договоров с работниками.</w:t>
      </w:r>
    </w:p>
    <w:p w:rsidR="00A10DA8" w:rsidRDefault="00A10DA8">
      <w:pPr>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br w:type="page" w:clear="all"/>
      </w:r>
    </w:p>
    <w:p w:rsidR="00A10DA8" w:rsidRDefault="00A10DA8">
      <w:pPr>
        <w:spacing w:after="0" w:line="240" w:lineRule="auto"/>
        <w:jc w:val="center"/>
        <w:rPr>
          <w:rFonts w:ascii="Times New Roman" w:eastAsia="Calibri" w:hAnsi="Times New Roman" w:cs="Times New Roman"/>
          <w:sz w:val="24"/>
          <w:szCs w:val="24"/>
        </w:rPr>
        <w:sectPr w:rsidR="00A10DA8">
          <w:footnotePr>
            <w:numRestart w:val="eachPage"/>
          </w:footnotePr>
          <w:pgSz w:w="11906" w:h="16838"/>
          <w:pgMar w:top="1134" w:right="851" w:bottom="1134" w:left="1701" w:header="709" w:footer="709" w:gutter="0"/>
          <w:cols w:space="708"/>
          <w:titlePg/>
          <w:docGrid w:linePitch="360"/>
        </w:sectPr>
      </w:pP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 xml:space="preserve">Участие членов Совета директоров, избранных годовым Общим собранием акционеров 29.05.2024 </w:t>
      </w: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(протокол от 29.05.2024 № 28), в заседаниях в 2024 году</w:t>
      </w:r>
    </w:p>
    <w:tbl>
      <w:tblPr>
        <w:tblW w:w="15590" w:type="dxa"/>
        <w:tblInd w:w="-572" w:type="dxa"/>
        <w:tblLayout w:type="fixed"/>
        <w:tblLook w:val="04A0" w:firstRow="1" w:lastRow="0" w:firstColumn="1" w:lastColumn="0" w:noHBand="0" w:noVBand="1"/>
      </w:tblPr>
      <w:tblGrid>
        <w:gridCol w:w="2406"/>
        <w:gridCol w:w="707"/>
        <w:gridCol w:w="707"/>
        <w:gridCol w:w="707"/>
        <w:gridCol w:w="709"/>
        <w:gridCol w:w="709"/>
        <w:gridCol w:w="709"/>
        <w:gridCol w:w="708"/>
        <w:gridCol w:w="709"/>
        <w:gridCol w:w="709"/>
        <w:gridCol w:w="709"/>
        <w:gridCol w:w="708"/>
        <w:gridCol w:w="709"/>
        <w:gridCol w:w="709"/>
        <w:gridCol w:w="709"/>
        <w:gridCol w:w="717"/>
        <w:gridCol w:w="1276"/>
        <w:gridCol w:w="1273"/>
      </w:tblGrid>
      <w:tr w:rsidR="00A10DA8">
        <w:trPr>
          <w:trHeight w:val="57"/>
        </w:trPr>
        <w:tc>
          <w:tcPr>
            <w:tcW w:w="24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Ф.И.О.</w:t>
            </w:r>
          </w:p>
        </w:tc>
        <w:tc>
          <w:tcPr>
            <w:tcW w:w="10635" w:type="dxa"/>
            <w:gridSpan w:val="15"/>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Дата проведения заседания Совета директоров Общества</w:t>
            </w:r>
          </w:p>
        </w:tc>
        <w:tc>
          <w:tcPr>
            <w:tcW w:w="1276" w:type="dxa"/>
            <w:tcBorders>
              <w:top w:val="single" w:sz="4" w:space="0" w:color="auto"/>
              <w:left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Участвовал</w:t>
            </w:r>
          </w:p>
        </w:tc>
        <w:tc>
          <w:tcPr>
            <w:tcW w:w="1273" w:type="dxa"/>
            <w:tcBorders>
              <w:top w:val="single" w:sz="4" w:space="0" w:color="auto"/>
              <w:left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 участвовал</w:t>
            </w:r>
          </w:p>
        </w:tc>
      </w:tr>
      <w:tr w:rsidR="00A10DA8">
        <w:trPr>
          <w:trHeight w:val="300"/>
        </w:trPr>
        <w:tc>
          <w:tcPr>
            <w:tcW w:w="2406"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10.06.2024</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17.06.2024</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25.06.2024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15.07.2024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12.08.2024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19.08.2024</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28.08.2024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19.09.2024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23.09.2024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30.09.2024</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10.10.2024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02.11.2024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08.11.2024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22.11.2024</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24.12.2024</w:t>
            </w:r>
          </w:p>
        </w:tc>
        <w:tc>
          <w:tcPr>
            <w:tcW w:w="1276" w:type="dxa"/>
            <w:tcBorders>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c>
          <w:tcPr>
            <w:tcW w:w="1273" w:type="dxa"/>
            <w:tcBorders>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r>
      <w:tr w:rsidR="00A10DA8">
        <w:trPr>
          <w:trHeight w:val="305"/>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Кадиров И.С., Председатель Совета директоров</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281"/>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Боев С.В.</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287"/>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Айметов Р.Р.</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312"/>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Уколов В.А.</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323"/>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Мисерханов Л.Х.</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r>
      <w:tr w:rsidR="00A10DA8">
        <w:trPr>
          <w:trHeight w:val="272"/>
        </w:trPr>
        <w:tc>
          <w:tcPr>
            <w:tcW w:w="2406"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Жумаев Л-А.Н.</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17"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273"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r>
    </w:tbl>
    <w:p w:rsidR="00A10DA8" w:rsidRDefault="00CA7E8A">
      <w:pPr>
        <w:spacing w:after="0" w:line="240" w:lineRule="auto"/>
        <w:ind w:firstLine="2552"/>
        <w:jc w:val="both"/>
        <w:rPr>
          <w:rFonts w:ascii="Times New Roman" w:hAnsi="Times New Roman" w:cs="Times New Roman"/>
          <w:sz w:val="24"/>
          <w:szCs w:val="24"/>
        </w:rPr>
      </w:pPr>
      <w:r>
        <w:rPr>
          <w:rFonts w:ascii="Times New Roman" w:hAnsi="Times New Roman" w:cs="Times New Roman"/>
          <w:sz w:val="24"/>
          <w:szCs w:val="24"/>
        </w:rPr>
        <w:t>Примечание: + – участие; - – отсутствие</w:t>
      </w:r>
    </w:p>
    <w:p w:rsidR="00A10DA8" w:rsidRDefault="00A10DA8">
      <w:pPr>
        <w:spacing w:after="0" w:line="240" w:lineRule="auto"/>
        <w:jc w:val="center"/>
        <w:rPr>
          <w:rFonts w:ascii="Times New Roman" w:eastAsia="Calibri" w:hAnsi="Times New Roman" w:cs="Times New Roman"/>
          <w:sz w:val="24"/>
          <w:szCs w:val="24"/>
        </w:rPr>
      </w:pP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Участие членов Совета директоров, избранных годовым Общим собранием акционеров 06.06.2023 </w:t>
      </w: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(протокол от 07.06.2023 № 27), в заседаниях в 2024 году</w:t>
      </w:r>
      <w:r>
        <w:rPr>
          <w:rFonts w:ascii="Times New Roman" w:eastAsia="Calibri" w:hAnsi="Times New Roman" w:cs="Times New Roman"/>
          <w:sz w:val="24"/>
          <w:szCs w:val="24"/>
        </w:rPr>
        <w:t xml:space="preserve"> </w:t>
      </w:r>
    </w:p>
    <w:tbl>
      <w:tblPr>
        <w:tblW w:w="14884" w:type="dxa"/>
        <w:tblInd w:w="-147" w:type="dxa"/>
        <w:tblLayout w:type="fixed"/>
        <w:tblLook w:val="04A0" w:firstRow="1" w:lastRow="0" w:firstColumn="1" w:lastColumn="0" w:noHBand="0" w:noVBand="1"/>
      </w:tblPr>
      <w:tblGrid>
        <w:gridCol w:w="2410"/>
        <w:gridCol w:w="709"/>
        <w:gridCol w:w="709"/>
        <w:gridCol w:w="709"/>
        <w:gridCol w:w="708"/>
        <w:gridCol w:w="709"/>
        <w:gridCol w:w="709"/>
        <w:gridCol w:w="709"/>
        <w:gridCol w:w="708"/>
        <w:gridCol w:w="709"/>
        <w:gridCol w:w="709"/>
        <w:gridCol w:w="709"/>
        <w:gridCol w:w="708"/>
        <w:gridCol w:w="709"/>
        <w:gridCol w:w="709"/>
        <w:gridCol w:w="1275"/>
        <w:gridCol w:w="1276"/>
      </w:tblGrid>
      <w:tr w:rsidR="00A10DA8">
        <w:trPr>
          <w:trHeight w:val="300"/>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Ф.И.О.</w:t>
            </w:r>
          </w:p>
        </w:tc>
        <w:tc>
          <w:tcPr>
            <w:tcW w:w="9923" w:type="dxa"/>
            <w:gridSpan w:val="14"/>
            <w:tcBorders>
              <w:top w:val="single" w:sz="4" w:space="0" w:color="auto"/>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Дата проведения заседания Совета директоров Общества</w:t>
            </w:r>
          </w:p>
        </w:tc>
        <w:tc>
          <w:tcPr>
            <w:tcW w:w="1275" w:type="dxa"/>
            <w:tcBorders>
              <w:top w:val="single" w:sz="4" w:space="0" w:color="auto"/>
              <w:left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Участвовал</w:t>
            </w:r>
          </w:p>
        </w:tc>
        <w:tc>
          <w:tcPr>
            <w:tcW w:w="1276" w:type="dxa"/>
            <w:tcBorders>
              <w:top w:val="single" w:sz="4" w:space="0" w:color="auto"/>
              <w:left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 участвовал</w:t>
            </w:r>
          </w:p>
        </w:tc>
      </w:tr>
      <w:tr w:rsidR="00A10DA8">
        <w:trPr>
          <w:trHeight w:val="300"/>
        </w:trPr>
        <w:tc>
          <w:tcPr>
            <w:tcW w:w="2410" w:type="dxa"/>
            <w:vMerge/>
            <w:tcBorders>
              <w:top w:val="single" w:sz="4" w:space="0" w:color="auto"/>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15.01.2024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29.01.2024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05.02.2024</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06.02.2024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14.02.2024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05.03.2024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15.03.2024</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02.04.2024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12.04.2024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17.04.2024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23.04.2024</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26.04.2024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08.05.2024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27.05.2024</w:t>
            </w:r>
          </w:p>
        </w:tc>
        <w:tc>
          <w:tcPr>
            <w:tcW w:w="1275" w:type="dxa"/>
            <w:tcBorders>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c>
          <w:tcPr>
            <w:tcW w:w="1276" w:type="dxa"/>
            <w:tcBorders>
              <w:left w:val="single" w:sz="4" w:space="0" w:color="auto"/>
              <w:bottom w:val="single" w:sz="4" w:space="0" w:color="auto"/>
              <w:right w:val="single" w:sz="4" w:space="0" w:color="auto"/>
            </w:tcBorders>
            <w:vAlign w:val="center"/>
          </w:tcPr>
          <w:p w:rsidR="00A10DA8" w:rsidRDefault="00A10DA8">
            <w:pPr>
              <w:spacing w:after="0" w:line="240" w:lineRule="auto"/>
              <w:rPr>
                <w:rFonts w:ascii="Times New Roman" w:eastAsia="Times New Roman" w:hAnsi="Times New Roman" w:cs="Times New Roman"/>
                <w:color w:val="000000"/>
                <w:sz w:val="20"/>
                <w:szCs w:val="20"/>
                <w:lang w:eastAsia="ru-RU"/>
              </w:rPr>
            </w:pPr>
          </w:p>
        </w:tc>
      </w:tr>
      <w:tr w:rsidR="00A10DA8">
        <w:trPr>
          <w:trHeight w:val="305"/>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Кадиров И.С., Председатель Совета директоров</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281"/>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Боев С.В.</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287"/>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Айметов Р.Р.</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312"/>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Уколов В.А.</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323"/>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Хакимов А.С.</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A10DA8">
        <w:trPr>
          <w:trHeight w:val="272"/>
        </w:trPr>
        <w:tc>
          <w:tcPr>
            <w:tcW w:w="2410" w:type="dxa"/>
            <w:tcBorders>
              <w:top w:val="none" w:sz="4" w:space="0" w:color="000000"/>
              <w:left w:val="single" w:sz="4" w:space="0" w:color="auto"/>
              <w:bottom w:val="single" w:sz="4" w:space="0" w:color="auto"/>
              <w:right w:val="single" w:sz="4" w:space="0" w:color="auto"/>
            </w:tcBorders>
            <w:shd w:val="clear" w:color="auto" w:fill="auto"/>
          </w:tcPr>
          <w:p w:rsidR="00A10DA8" w:rsidRDefault="00CA7E8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Жумаев Л-А.Н.</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8"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A10DA8" w:rsidRDefault="00CA7E8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r>
    </w:tbl>
    <w:p w:rsidR="00A10DA8" w:rsidRDefault="00CA7E8A">
      <w:pPr>
        <w:spacing w:after="0" w:line="240" w:lineRule="auto"/>
        <w:ind w:firstLine="2552"/>
        <w:jc w:val="both"/>
        <w:rPr>
          <w:rFonts w:ascii="Times New Roman" w:hAnsi="Times New Roman" w:cs="Times New Roman"/>
          <w:sz w:val="24"/>
          <w:szCs w:val="24"/>
        </w:rPr>
      </w:pPr>
      <w:r>
        <w:rPr>
          <w:rFonts w:ascii="Times New Roman" w:hAnsi="Times New Roman" w:cs="Times New Roman"/>
          <w:sz w:val="24"/>
          <w:szCs w:val="24"/>
        </w:rPr>
        <w:t>Примечание: + – участие; - – отсутствие</w:t>
      </w:r>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clear="all"/>
      </w:r>
    </w:p>
    <w:p w:rsidR="00A10DA8" w:rsidRDefault="00A10DA8">
      <w:pPr>
        <w:spacing w:after="0" w:line="240" w:lineRule="auto"/>
        <w:ind w:right="-142" w:firstLine="709"/>
        <w:contextualSpacing/>
        <w:jc w:val="both"/>
        <w:rPr>
          <w:rFonts w:ascii="Times New Roman" w:hAnsi="Times New Roman" w:cs="Times New Roman"/>
          <w:b/>
          <w:sz w:val="24"/>
          <w:szCs w:val="24"/>
        </w:rPr>
        <w:sectPr w:rsidR="00A10DA8">
          <w:footnotePr>
            <w:numRestart w:val="eachPage"/>
          </w:footnotePr>
          <w:pgSz w:w="16838" w:h="11906" w:orient="landscape"/>
          <w:pgMar w:top="1701" w:right="1134" w:bottom="851" w:left="1134" w:header="709" w:footer="709" w:gutter="0"/>
          <w:cols w:space="708"/>
          <w:titlePg/>
          <w:docGrid w:linePitch="360"/>
        </w:sectPr>
      </w:pPr>
    </w:p>
    <w:p w:rsidR="00A10DA8" w:rsidRDefault="00CA7E8A">
      <w:pPr>
        <w:pStyle w:val="1"/>
        <w:ind w:firstLine="709"/>
        <w:rPr>
          <w:b w:val="0"/>
        </w:rPr>
      </w:pPr>
      <w:bookmarkStart w:id="40" w:name="_Toc195780433"/>
      <w:r>
        <w:lastRenderedPageBreak/>
        <w:t>Правление</w:t>
      </w:r>
      <w:bookmarkEnd w:id="40"/>
    </w:p>
    <w:p w:rsidR="00A10DA8" w:rsidRDefault="00A10DA8">
      <w:pPr>
        <w:spacing w:after="0" w:line="240" w:lineRule="auto"/>
        <w:ind w:right="-142" w:firstLine="709"/>
        <w:contextualSpacing/>
        <w:jc w:val="both"/>
        <w:rPr>
          <w:rFonts w:ascii="Times New Roman" w:hAnsi="Times New Roman" w:cs="Times New Roman"/>
          <w:b/>
          <w:sz w:val="24"/>
          <w:szCs w:val="24"/>
        </w:rPr>
      </w:pP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Компетенция Правления установлена статьей 70 Федерального закона «Об акционерных обществах» и статьей 22 Устава Общества. Сроки, порядок созыва и проведения заседаний, а также принятия решений установлены Положением о Правлении Общества, утвержденным годовым Общим собранием акционеров Общества 19.05.2021 (протокол от 20.05.2021 № 23).</w:t>
      </w: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Количественный состав Правления Общества определяется решением Совета директоров Общества по предложению Генерального директора Общества. Количественный состав Правления не может быть менее трех человек.</w:t>
      </w: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xml:space="preserve">Избрание членов Правления Общества и досрочное прекращение их полномочий осуществляется Советом директоров Общества. </w:t>
      </w: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По состоянию на конец отчетного периода Правление в Обществе не сформировано.</w:t>
      </w:r>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pStyle w:val="1"/>
        <w:ind w:firstLine="709"/>
      </w:pPr>
      <w:bookmarkStart w:id="41" w:name="_Toc195780434"/>
      <w:r>
        <w:t>Корпоративный секретарь Общества</w:t>
      </w:r>
      <w:bookmarkEnd w:id="41"/>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В Обществе действует Положение о корпоративном секретаре АО «Чеченэнерго», утвержденное решением Совета директоров 23.11.2016 (протокол от 25.11.2016 № 114). Положение определяет статус Корпоративного секретаря, требования к его кандидатуре, порядок его избрания и прекращения полномочий, его подчиненность и порядок взаимодействия с органами управления и структурными подразделениями Общества, а также иные вопросы деятельности Корпоративного секретаря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К функциям Корпоративного секретаря Общества относятся:</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1) участие в обеспечении взаимодействия Общества с органами регулирования, организаторами торговли, регистратором, иными профессиональными участниками рынка ценных бумаг в рамках полномочий, закрепленных договором за Корпоративным секретарем;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2) незамедлительное информирование Совета директоров Общества обо всех выявленных нарушениях законодательства Российской Федерации, а также положений внутренних документов Общества, соблюдение которых относится к функциям Корпоративного секретаря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3) участие во взаимодействии Общества с его акционерами и в предупреждении корпоративных конфликтов, в реализации установленных законодательством Российской Федерации и внутренними документами Общества процедур, обеспечивающих реализацию прав и законных интересов акционеров, контроль за их исполнением в рамках полномочий, закрепленных договором за Корпоративным секретарем;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4) участие в организации подготовки и проведения Общих собраний акционеров Общества в порядке, установленном внутренними документами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5) участие в реализации политики Общества по раскрытию информации, а также обеспечение хранения корпоративных документов Общества в рамках полномочий, закрепленных договором за Корпоративным секретарем;</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6) участие в совершенствовании системы и практики корпоративного управления Общества путем представления соответствующих предложений в ответственное структурное подразделение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7) обеспечение текущей деятельности Совета директоров, в том числе:</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разработка и представление Председателю Совета директоров проекта повестки дня заседаний Совета директоров в соответствии с Планом работы Совета директоров и предложениями, поступившими от членов Совета директоров, Ревизионной комиссии, Аудитора Общества и Генерального директора;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обеспечение подготовки и рассылки документов (материалов), необходимых для организации и проведения заседания Совета директоров (уведомление о проведении </w:t>
      </w:r>
      <w:r>
        <w:rPr>
          <w:rFonts w:ascii="Times New Roman" w:hAnsi="Times New Roman" w:cs="Times New Roman"/>
          <w:sz w:val="24"/>
          <w:szCs w:val="24"/>
        </w:rPr>
        <w:lastRenderedPageBreak/>
        <w:t>заседаний, проекты решений по вопросам повестки дня заседания, проекты документов для предварительного ознакомления и др.);</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организационное и техническое обеспечение проведения заседания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организация взаимодействия Совета директоров с исполнительными органами Общества, с Комитетами Совета директоров, Аудитором Общества, Ревизионной комиссией и структурными подразделениями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организация подготовки и представления документов (информации) по запросам членов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подготовка запросов, ответов на письма, поступившие в Совет директоров, за подписью и по поручению Председателя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сбор опросных листов, заполненных членами Совета директоров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оформление протоколов заседаний Совета директоров и выписок из протоколов заседаний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предоставление и заверение подлинности копий протоколов заседаний Совета директоров и Общих собраний акционеров Общества, а также выписок из них;</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рассылка документов, утвержденных Советом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разработка и ведение номенклатуры дел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организация контроля за ходом выполнения решений Совета директоров и Общего собрания акционеров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подготовка запросов о предоставлении информации (материалов) по вопросам повестки дня заседаний Совета директоров в адрес подразделений Общества по поручению членов Совета директоров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контроль за достоверностью предоставляемой информации и правильностью оформления документов, выносимых на рассмотрение и утверждение Советом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подготовка по поручению Председателя Совета директоров (заместителя Председателя Совета директоров) проектов отдельных документов и решений Совета директоров, в том числе проекта Плана работы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организация ведения записи хода заседаний Совета директоров, в том числе, с согласия присутствующих членов, на электронные носители;</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систематизация и архивирование документов и материалов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представление по запросу Председателя Совета директоров и/или ответственных структурных подразделений Общества сведений для оценки эффективности работы Совета директоров и отдельных членов Совета директоров;</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решение иных вопросов и выполнение иных функций, предусмотренных настоящим Положением, Положением о Совете директоров Общества, договором с Корпоративным секретарем Общества, а также в соответствии с поручениями Председателя и членов Совета директоров Общества.</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Обществе избран Корпоративный секретарь, который обеспечивает надлежащее соблюдение порядка подготовки и проведения Общих собраний акционеров и деятельности Совета директоров Общества. В соответствии с решением Совета директоров от 21.03.2022 (протокол от 22.03.2022 № 256) корпоративным секретарем Общества избрана Канцурова Наталья Сергеевна, главный эксперт отдела корпоративного управления Департамента корпоративного управления и взаимодействия с акционерами ПАО «Россети Северный Кавказ».</w:t>
      </w:r>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pStyle w:val="1"/>
        <w:ind w:firstLine="709"/>
      </w:pPr>
      <w:bookmarkStart w:id="42" w:name="_Toc100218036"/>
      <w:bookmarkStart w:id="43" w:name="_Toc195780435"/>
      <w:r>
        <w:t>Генеральный директор Общества</w:t>
      </w:r>
      <w:bookmarkEnd w:id="42"/>
      <w:bookmarkEnd w:id="43"/>
    </w:p>
    <w:p w:rsidR="00A10DA8" w:rsidRDefault="00A10DA8">
      <w:pPr>
        <w:spacing w:after="0" w:line="240" w:lineRule="auto"/>
        <w:rPr>
          <w:sz w:val="24"/>
          <w:szCs w:val="24"/>
          <w:lang w:eastAsia="ru-RU"/>
        </w:rPr>
      </w:pP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Компетенция исполнительного органа установлена статьей 69 Федерального закона «Об акционерных обществах» и статьей 21 Устава Общества, в соответствии с которой руководство текущей деятельностью Общества осуществляется единоличным исполнительным органом – Генеральным директором.</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Генеральный директор Общества подотчетен Общему собранию акционеров и Совету директоров Общества.</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 компетенции Генерального директора Общества относятся все вопросы руководства текущей деятельностью Общества, за исключением вопросов, отнесенных к компетенции Общего собрания акционеров и Совета директоров Общества.</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решением годового Общего собрания акционеров Общества от 16.06.2009 (протокол от 19.06.2009 № 1), на основании договора от 03.08.2009 № 326/2009 полномочия единоличного исполнительного органа (Генерального директора) Общества были переданы управляющей организации – ПАО «Россети Северный Кавказ». Место нахождения ПАО «Россети Северный Кавказ» – Российская Федерация, г. Пятигорск.</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Решением Совета директоров ПАО «Россети Северный Кавказ» от 02.04.2021 (протокол от 05.04.2021 № 457) с 06.04.2021 и до даты принятия Советом директоров ПАО «Россети Северный Кавказ» решения об избрании единоличного исполнительного органа исполняющим обязанности Генерального директора ПАО «Россети Северный Кавказ» назначен заместитель Генерального директора по взаимодействию с субъектами рынка электроэнергии ПАО «Россети Северный Кавказ» Левченко Роман Алексеевич.</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Решением Совета директоров ПАО «Россети Северный Кавказ» от 18.02.2022 (протокол от 18.02.2022 № 486) Левченко Роман Алексеевич избран Генеральным директором ПАО «Россети Северный Кавказ» с 18.02.2022 по 17.02.2025 включительно. Решением Совета директоров ПАО «Россети Северный Кавказ» от 14.02.2025 (протокол от 17.02.2025 № 574) Левченко Роман Алексеевич избран Генеральным директором ПАО «Россети Северный Кавказ» с 18.02.2025 по 17.02.2027 включительно.</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ПАО «Россети Северный Кавказ» не владело акциями Общества, а также не совершало сделок по приобретению и (или) отчуждению акций Общества.</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Общество не выдавало займы единоличному исполнительному органу Общества.</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pStyle w:val="1"/>
        <w:ind w:firstLine="709"/>
      </w:pPr>
      <w:bookmarkStart w:id="44" w:name="_Toc100218037"/>
      <w:bookmarkStart w:id="45" w:name="_Toc195780436"/>
      <w:r>
        <w:t>Система вознаграждения органов управления Компании</w:t>
      </w:r>
      <w:bookmarkEnd w:id="44"/>
      <w:bookmarkEnd w:id="45"/>
    </w:p>
    <w:p w:rsidR="00A10DA8" w:rsidRDefault="00A10DA8">
      <w:pPr>
        <w:pStyle w:val="aff"/>
        <w:tabs>
          <w:tab w:val="left" w:pos="993"/>
        </w:tabs>
        <w:ind w:left="709" w:right="-143"/>
        <w:contextualSpacing/>
        <w:jc w:val="both"/>
        <w:rPr>
          <w:rFonts w:ascii="Times New Roman" w:hAnsi="Times New Roman" w:cs="Times New Roman"/>
          <w:sz w:val="24"/>
          <w:szCs w:val="24"/>
        </w:rPr>
      </w:pPr>
    </w:p>
    <w:p w:rsidR="00A10DA8" w:rsidRDefault="00CA7E8A">
      <w:pPr>
        <w:pStyle w:val="aff"/>
        <w:tabs>
          <w:tab w:val="left" w:pos="993"/>
        </w:tabs>
        <w:ind w:left="709" w:right="-143"/>
        <w:contextualSpacing/>
        <w:jc w:val="both"/>
        <w:outlineLvl w:val="0"/>
        <w:rPr>
          <w:rFonts w:ascii="Times New Roman" w:hAnsi="Times New Roman" w:cs="Times New Roman"/>
          <w:b/>
          <w:sz w:val="24"/>
          <w:szCs w:val="24"/>
        </w:rPr>
      </w:pPr>
      <w:bookmarkStart w:id="46" w:name="_Toc195780437"/>
      <w:r>
        <w:rPr>
          <w:rFonts w:ascii="Times New Roman" w:hAnsi="Times New Roman" w:cs="Times New Roman"/>
          <w:b/>
          <w:sz w:val="24"/>
          <w:szCs w:val="24"/>
        </w:rPr>
        <w:t>Вознаграждение членов Совета директоров</w:t>
      </w:r>
      <w:bookmarkEnd w:id="46"/>
    </w:p>
    <w:p w:rsidR="00A10DA8" w:rsidRDefault="00A10DA8">
      <w:pPr>
        <w:pStyle w:val="aff"/>
        <w:tabs>
          <w:tab w:val="left" w:pos="993"/>
        </w:tabs>
        <w:ind w:left="709" w:right="-143"/>
        <w:contextualSpacing/>
        <w:jc w:val="both"/>
        <w:rPr>
          <w:rFonts w:ascii="Times New Roman" w:hAnsi="Times New Roman" w:cs="Times New Roman"/>
          <w:b/>
          <w:sz w:val="24"/>
          <w:szCs w:val="24"/>
        </w:rPr>
      </w:pP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отчетном году действовало Положение о выплате членам Совета директоров Общества вознаграждений и компенсаций, утвержденное решением годового Общего собрания акционеров Общества 21.06.2019 (протокол от 24.06.2019 № 19).</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Текст Положения доступен на корпоративном сайте Общества в разделе «Акционерам и инвесторам / Устав и внутренние документы / Документы процедур корпоративного управления» (ссылка – </w:t>
      </w:r>
      <w:hyperlink r:id="rId39" w:tooltip="http://chechenergo.ru/index.php/aktsioneram-i-investoram/ustav-i-vnutrennie-dokumenty/dokumenty-protsedur-korporativnogo-upravleniya" w:history="1">
        <w:r>
          <w:rPr>
            <w:rStyle w:val="afb"/>
            <w:rFonts w:ascii="Times New Roman" w:eastAsia="Calibri" w:hAnsi="Times New Roman" w:cs="Times New Roman"/>
            <w:sz w:val="24"/>
            <w:szCs w:val="24"/>
          </w:rPr>
          <w:t>http://chechenergo.ru/index.php/aktsioneram-i-investoram/ustav-i-vnutrennie-dokumenty/dokumenty-protsedur-korporativnogo-upravleniya</w:t>
        </w:r>
      </w:hyperlink>
      <w:r>
        <w:rPr>
          <w:rFonts w:ascii="Times New Roman" w:eastAsia="Calibri" w:hAnsi="Times New Roman" w:cs="Times New Roman"/>
          <w:sz w:val="24"/>
          <w:szCs w:val="24"/>
        </w:rPr>
        <w:t>).</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Выплата вознаграждений членам Совета директоров Общества производится за период с даты избрания кандидата в члены Совета директоров Общества до даты прекращения полномочий члена Совета директоров. </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Вознаграждение членам Совета директоров Общества выплачивается ежеквартально.</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Размер ежеквартального вознаграждения за участие в Совете директоров Общества каждого члена Совета директоров Общества рассчитывается с учетом общего количества заседаний Совета директоров Общества за отчетный квартал и количества заседаний, в которых член Совета директоров принимал участие.</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Вознаграждение не выплачивается, если член Совета директоров Общества не принимал участие более чем в 50 % состоявшихся в отчетном квартале заседаний.</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Дополнительные надбавки к вознаграждению:</w:t>
      </w:r>
    </w:p>
    <w:p w:rsidR="00A10DA8" w:rsidRDefault="00CA7E8A">
      <w:pPr>
        <w:tabs>
          <w:tab w:val="left" w:pos="993"/>
        </w:tabs>
        <w:spacing w:after="0" w:line="240" w:lineRule="auto"/>
        <w:ind w:right="-142"/>
        <w:contextualSpacing/>
        <w:jc w:val="both"/>
        <w:rPr>
          <w:rFonts w:ascii="Times New Roman" w:hAnsi="Times New Roman" w:cs="Times New Roman"/>
          <w:sz w:val="24"/>
          <w:szCs w:val="24"/>
        </w:rPr>
      </w:pPr>
      <w:r>
        <w:rPr>
          <w:rFonts w:ascii="Times New Roman" w:eastAsia="Calibri" w:hAnsi="Times New Roman" w:cs="Times New Roman"/>
          <w:sz w:val="24"/>
          <w:szCs w:val="24"/>
        </w:rPr>
        <w:t>- 30 % от S(1) - Председателю Совета директоров Общества.</w:t>
      </w:r>
    </w:p>
    <w:p w:rsidR="00A10DA8" w:rsidRDefault="00A10DA8">
      <w:pPr>
        <w:tabs>
          <w:tab w:val="left" w:pos="993"/>
        </w:tabs>
        <w:spacing w:after="0" w:line="240" w:lineRule="auto"/>
        <w:ind w:right="-142"/>
        <w:contextualSpacing/>
        <w:jc w:val="center"/>
        <w:rPr>
          <w:rFonts w:ascii="Times New Roman" w:hAnsi="Times New Roman" w:cs="Times New Roman"/>
          <w:b/>
          <w:bCs/>
          <w:sz w:val="24"/>
          <w:szCs w:val="24"/>
        </w:rPr>
      </w:pPr>
    </w:p>
    <w:p w:rsidR="00A10DA8" w:rsidRDefault="00CA7E8A">
      <w:pPr>
        <w:tabs>
          <w:tab w:val="left" w:pos="993"/>
        </w:tabs>
        <w:spacing w:after="0" w:line="240" w:lineRule="auto"/>
        <w:ind w:right="-142"/>
        <w:contextual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Размер вознаграждения, выплаченного членам </w:t>
      </w:r>
    </w:p>
    <w:p w:rsidR="00A10DA8" w:rsidRDefault="00CA7E8A">
      <w:pPr>
        <w:tabs>
          <w:tab w:val="left" w:pos="993"/>
        </w:tabs>
        <w:spacing w:after="0" w:line="240" w:lineRule="auto"/>
        <w:ind w:right="-142"/>
        <w:contextualSpacing/>
        <w:jc w:val="center"/>
        <w:rPr>
          <w:rFonts w:ascii="Times New Roman" w:hAnsi="Times New Roman" w:cs="Times New Roman"/>
          <w:b/>
          <w:bCs/>
          <w:sz w:val="24"/>
          <w:szCs w:val="24"/>
        </w:rPr>
      </w:pPr>
      <w:r>
        <w:rPr>
          <w:rFonts w:ascii="Times New Roman" w:hAnsi="Times New Roman" w:cs="Times New Roman"/>
          <w:b/>
          <w:bCs/>
          <w:sz w:val="24"/>
          <w:szCs w:val="24"/>
        </w:rPr>
        <w:t>Совета директоров Общества в 2024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b/>
                <w:bCs/>
                <w:sz w:val="20"/>
                <w:szCs w:val="20"/>
              </w:rPr>
            </w:pPr>
            <w:r>
              <w:rPr>
                <w:rFonts w:ascii="Times New Roman" w:hAnsi="Times New Roman" w:cs="Times New Roman"/>
                <w:b/>
                <w:bCs/>
                <w:sz w:val="20"/>
                <w:szCs w:val="20"/>
              </w:rPr>
              <w:t>Наименование показателя</w:t>
            </w:r>
          </w:p>
        </w:tc>
        <w:tc>
          <w:tcPr>
            <w:tcW w:w="1360" w:type="dxa"/>
            <w:shd w:val="clear" w:color="auto" w:fill="auto"/>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b/>
                <w:bCs/>
                <w:sz w:val="20"/>
                <w:szCs w:val="20"/>
              </w:rPr>
            </w:pPr>
            <w:r>
              <w:rPr>
                <w:rFonts w:ascii="Times New Roman" w:hAnsi="Times New Roman" w:cs="Times New Roman"/>
                <w:b/>
                <w:bCs/>
                <w:sz w:val="20"/>
                <w:szCs w:val="20"/>
              </w:rPr>
              <w:t>2024 г.</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Вознаграждение за участие в работе органа управления</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2 481</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Заработная плата*</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Премии*</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Комиссионные</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Льготы</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Иные виды вознаграждений</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b/>
                <w:bCs/>
                <w:sz w:val="20"/>
                <w:szCs w:val="20"/>
              </w:rPr>
            </w:pPr>
            <w:r>
              <w:rPr>
                <w:rFonts w:ascii="Times New Roman" w:hAnsi="Times New Roman" w:cs="Times New Roman"/>
                <w:b/>
                <w:bCs/>
                <w:sz w:val="20"/>
                <w:szCs w:val="20"/>
              </w:rPr>
              <w:t>ИТОГО</w:t>
            </w:r>
          </w:p>
        </w:tc>
        <w:tc>
          <w:tcPr>
            <w:tcW w:w="1360" w:type="dxa"/>
            <w:shd w:val="clear" w:color="auto" w:fill="auto"/>
            <w:tcMar>
              <w:top w:w="0" w:type="dxa"/>
              <w:left w:w="72" w:type="dxa"/>
              <w:bottom w:w="0" w:type="dxa"/>
              <w:right w:w="72" w:type="dxa"/>
            </w:tcMar>
          </w:tcPr>
          <w:p w:rsidR="00A10DA8" w:rsidRDefault="00CA7E8A">
            <w:pPr>
              <w:spacing w:after="0" w:line="240" w:lineRule="auto"/>
              <w:rPr>
                <w:rFonts w:ascii="Times New Roman" w:hAnsi="Times New Roman" w:cs="Times New Roman"/>
                <w:sz w:val="20"/>
                <w:szCs w:val="20"/>
              </w:rPr>
            </w:pPr>
            <w:r>
              <w:rPr>
                <w:rFonts w:ascii="Times New Roman" w:hAnsi="Times New Roman" w:cs="Times New Roman"/>
                <w:sz w:val="20"/>
                <w:szCs w:val="20"/>
              </w:rPr>
              <w:t>2 481</w:t>
            </w:r>
          </w:p>
        </w:tc>
      </w:tr>
    </w:tbl>
    <w:p w:rsidR="00A10DA8" w:rsidRDefault="00CA7E8A">
      <w:pPr>
        <w:spacing w:after="0" w:line="240" w:lineRule="auto"/>
        <w:ind w:right="-142"/>
        <w:contextualSpacing/>
        <w:jc w:val="both"/>
        <w:rPr>
          <w:rFonts w:ascii="Times New Roman" w:hAnsi="Times New Roman" w:cs="Times New Roman"/>
          <w:bCs/>
          <w:sz w:val="24"/>
          <w:szCs w:val="24"/>
        </w:rPr>
      </w:pPr>
      <w:r>
        <w:rPr>
          <w:rFonts w:ascii="Times New Roman" w:hAnsi="Times New Roman" w:cs="Times New Roman"/>
          <w:bCs/>
          <w:sz w:val="24"/>
          <w:szCs w:val="24"/>
        </w:rPr>
        <w:tab/>
        <w:t>*Вознаграждения, выплаченные членам Совета директоров Общества, являющихся (являвшихся) его работниками.</w:t>
      </w:r>
    </w:p>
    <w:p w:rsidR="00A10DA8" w:rsidRDefault="00A10DA8">
      <w:pPr>
        <w:tabs>
          <w:tab w:val="left" w:pos="993"/>
        </w:tabs>
        <w:spacing w:after="0" w:line="240" w:lineRule="auto"/>
        <w:ind w:right="-142"/>
        <w:contextualSpacing/>
        <w:jc w:val="both"/>
        <w:rPr>
          <w:rFonts w:ascii="Times New Roman" w:hAnsi="Times New Roman" w:cs="Times New Roman"/>
          <w:b/>
          <w:bCs/>
          <w:sz w:val="24"/>
          <w:szCs w:val="24"/>
        </w:rPr>
      </w:pPr>
    </w:p>
    <w:p w:rsidR="00A10DA8" w:rsidRDefault="00CA7E8A">
      <w:pPr>
        <w:tabs>
          <w:tab w:val="left" w:pos="993"/>
        </w:tabs>
        <w:spacing w:after="0" w:line="240" w:lineRule="auto"/>
        <w:ind w:right="-142"/>
        <w:contextualSpacing/>
        <w:jc w:val="center"/>
        <w:rPr>
          <w:rFonts w:ascii="Times New Roman" w:hAnsi="Times New Roman" w:cs="Times New Roman"/>
          <w:b/>
          <w:bCs/>
          <w:sz w:val="24"/>
          <w:szCs w:val="24"/>
        </w:rPr>
      </w:pPr>
      <w:r>
        <w:rPr>
          <w:rFonts w:ascii="Times New Roman" w:hAnsi="Times New Roman" w:cs="Times New Roman"/>
          <w:b/>
          <w:bCs/>
          <w:sz w:val="24"/>
          <w:szCs w:val="24"/>
        </w:rPr>
        <w:t xml:space="preserve">Размер компенсации расходов членам </w:t>
      </w:r>
    </w:p>
    <w:p w:rsidR="00A10DA8" w:rsidRDefault="00CA7E8A">
      <w:pPr>
        <w:tabs>
          <w:tab w:val="left" w:pos="993"/>
        </w:tabs>
        <w:spacing w:after="0" w:line="240" w:lineRule="auto"/>
        <w:ind w:right="-142"/>
        <w:contextualSpacing/>
        <w:jc w:val="center"/>
        <w:rPr>
          <w:rFonts w:ascii="Times New Roman" w:hAnsi="Times New Roman" w:cs="Times New Roman"/>
          <w:b/>
          <w:bCs/>
          <w:sz w:val="24"/>
          <w:szCs w:val="24"/>
        </w:rPr>
      </w:pPr>
      <w:r>
        <w:rPr>
          <w:rFonts w:ascii="Times New Roman" w:hAnsi="Times New Roman" w:cs="Times New Roman"/>
          <w:b/>
          <w:bCs/>
          <w:sz w:val="24"/>
          <w:szCs w:val="24"/>
        </w:rPr>
        <w:t>Совета директоров Общества в 2024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b/>
                <w:bCs/>
                <w:sz w:val="20"/>
                <w:szCs w:val="20"/>
              </w:rPr>
            </w:pPr>
            <w:r>
              <w:rPr>
                <w:rFonts w:ascii="Times New Roman" w:hAnsi="Times New Roman" w:cs="Times New Roman"/>
                <w:b/>
                <w:bCs/>
                <w:sz w:val="20"/>
                <w:szCs w:val="20"/>
              </w:rPr>
              <w:t>Наименование показателя</w:t>
            </w:r>
          </w:p>
        </w:tc>
        <w:tc>
          <w:tcPr>
            <w:tcW w:w="1360" w:type="dxa"/>
            <w:shd w:val="clear" w:color="auto" w:fill="auto"/>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b/>
                <w:bCs/>
                <w:sz w:val="20"/>
                <w:szCs w:val="20"/>
              </w:rPr>
            </w:pPr>
            <w:r>
              <w:rPr>
                <w:rFonts w:ascii="Times New Roman" w:hAnsi="Times New Roman" w:cs="Times New Roman"/>
                <w:b/>
                <w:bCs/>
                <w:sz w:val="20"/>
                <w:szCs w:val="20"/>
              </w:rPr>
              <w:t>2024 г.</w:t>
            </w:r>
          </w:p>
        </w:tc>
      </w:tr>
      <w:tr w:rsidR="00A10DA8">
        <w:trPr>
          <w:jc w:val="center"/>
        </w:trPr>
        <w:tc>
          <w:tcPr>
            <w:tcW w:w="6492" w:type="dxa"/>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Компенсации расходов</w:t>
            </w:r>
          </w:p>
        </w:tc>
        <w:tc>
          <w:tcPr>
            <w:tcW w:w="1360" w:type="dxa"/>
            <w:shd w:val="clear" w:color="auto" w:fill="auto"/>
            <w:tcMar>
              <w:top w:w="0" w:type="dxa"/>
              <w:left w:w="72" w:type="dxa"/>
              <w:bottom w:w="0" w:type="dxa"/>
              <w:right w:w="72" w:type="dxa"/>
            </w:tcMar>
          </w:tcPr>
          <w:p w:rsidR="00A10DA8" w:rsidRDefault="00CA7E8A">
            <w:pPr>
              <w:tabs>
                <w:tab w:val="left" w:pos="993"/>
              </w:tabs>
              <w:spacing w:after="0" w:line="240" w:lineRule="auto"/>
              <w:ind w:right="-142"/>
              <w:contextualSpacing/>
              <w:jc w:val="both"/>
              <w:rPr>
                <w:rFonts w:ascii="Times New Roman" w:hAnsi="Times New Roman" w:cs="Times New Roman"/>
                <w:sz w:val="20"/>
                <w:szCs w:val="20"/>
              </w:rPr>
            </w:pPr>
            <w:r>
              <w:rPr>
                <w:rFonts w:ascii="Times New Roman" w:hAnsi="Times New Roman" w:cs="Times New Roman"/>
                <w:sz w:val="20"/>
                <w:szCs w:val="20"/>
              </w:rPr>
              <w:t>-</w:t>
            </w:r>
          </w:p>
        </w:tc>
      </w:tr>
    </w:tbl>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pStyle w:val="aff"/>
        <w:tabs>
          <w:tab w:val="left" w:pos="993"/>
        </w:tabs>
        <w:ind w:left="709" w:right="-143"/>
        <w:contextualSpacing/>
        <w:jc w:val="both"/>
        <w:outlineLvl w:val="0"/>
        <w:rPr>
          <w:rFonts w:ascii="Times New Roman" w:hAnsi="Times New Roman" w:cs="Times New Roman"/>
          <w:b/>
          <w:sz w:val="24"/>
          <w:szCs w:val="24"/>
        </w:rPr>
      </w:pPr>
      <w:bookmarkStart w:id="47" w:name="_Toc195780438"/>
      <w:r>
        <w:rPr>
          <w:rFonts w:ascii="Times New Roman" w:hAnsi="Times New Roman" w:cs="Times New Roman"/>
          <w:b/>
          <w:sz w:val="24"/>
          <w:szCs w:val="24"/>
        </w:rPr>
        <w:t>Система вознаграждения Генерального директора Общества</w:t>
      </w:r>
      <w:bookmarkEnd w:id="47"/>
    </w:p>
    <w:p w:rsidR="00A10DA8" w:rsidRDefault="00A10DA8">
      <w:pPr>
        <w:pStyle w:val="aff"/>
        <w:tabs>
          <w:tab w:val="left" w:pos="993"/>
        </w:tabs>
        <w:ind w:left="709" w:right="-143"/>
        <w:contextualSpacing/>
        <w:jc w:val="both"/>
        <w:rPr>
          <w:rFonts w:ascii="Times New Roman" w:hAnsi="Times New Roman" w:cs="Times New Roman"/>
          <w:b/>
          <w:sz w:val="24"/>
          <w:szCs w:val="24"/>
        </w:rPr>
      </w:pP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договором от 03.08.2009 № 326/2009 о передаче полномочий единоличного исполнительного органа (генерального директора) Общества предусмотрена выплата управляющей организации – ПАО «Россети Северный Кавказ» вознаграждения за оказанные по договору услуги.</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Годовой размер вознаграждения, определенный решением Совета директоров Общества от 14.10.2016 (протокол от 17.10.2016 № 112), составляет 65 008 494,61 руб., кроме того НДС – 11 701 529,03 руб.</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Расчетным периодом считается месяц. Вознаграждение за отчетный период определяется делением общей суммы по договору на количество отчетных месяцев. В случае если услуги оказываются неполный месяц, стоимость услуг определяется путем деления стоимости за отчетный период на количество календарных дней в месяце и умножения на количество дней фактического оказания услуг.</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Срок действия Договора 1 год c даты вступления договора в силу.</w:t>
      </w:r>
    </w:p>
    <w:p w:rsidR="00A10DA8" w:rsidRDefault="00CA7E8A">
      <w:pPr>
        <w:shd w:val="clear" w:color="auto" w:fill="FFFFFF"/>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Договор автоматически продлевает свое действие и считается пролонгированным на последующий календарный год на аналогичных условиях, в случае, если ни одна из сторон не уведомит в письменной форме другую сторону, не позднее 30 календарных дней до даты истечения срока действия договора, об отсутствии намерения продлить срок его действия.</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за выполнение функции единоличного исполнительного органа оплачено вознаграждение в размере 66 914 497,22 руб. (в том числе зачетом взаимных требований 16 005 222,26 руб.).</w:t>
      </w:r>
    </w:p>
    <w:p w:rsidR="00A10DA8" w:rsidRDefault="00A10DA8">
      <w:pPr>
        <w:pStyle w:val="1"/>
        <w:ind w:firstLine="709"/>
      </w:pPr>
    </w:p>
    <w:p w:rsidR="00A10DA8" w:rsidRDefault="00CA7E8A">
      <w:pPr>
        <w:keepNext/>
        <w:tabs>
          <w:tab w:val="left" w:pos="1134"/>
        </w:tabs>
        <w:spacing w:after="0" w:line="240" w:lineRule="auto"/>
        <w:ind w:firstLine="709"/>
        <w:jc w:val="both"/>
        <w:outlineLvl w:val="0"/>
        <w:rPr>
          <w:rFonts w:ascii="Times New Roman" w:hAnsi="Times New Roman" w:cs="Times New Roman"/>
          <w:b/>
          <w:sz w:val="24"/>
          <w:szCs w:val="24"/>
        </w:rPr>
      </w:pPr>
      <w:bookmarkStart w:id="48" w:name="_Toc195780439"/>
      <w:r>
        <w:rPr>
          <w:rFonts w:ascii="Times New Roman" w:hAnsi="Times New Roman" w:cs="Times New Roman"/>
          <w:b/>
          <w:sz w:val="24"/>
          <w:szCs w:val="24"/>
        </w:rPr>
        <w:t>Управление рисками и внутренний контроль</w:t>
      </w:r>
      <w:bookmarkEnd w:id="48"/>
    </w:p>
    <w:p w:rsidR="00A10DA8" w:rsidRDefault="00A10DA8">
      <w:pPr>
        <w:pStyle w:val="aff"/>
        <w:ind w:left="0" w:firstLine="709"/>
        <w:jc w:val="both"/>
        <w:rPr>
          <w:rFonts w:ascii="Times New Roman" w:hAnsi="Times New Roman" w:cs="Times New Roman"/>
          <w:sz w:val="24"/>
          <w:szCs w:val="24"/>
        </w:rPr>
      </w:pP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В Обществе утверждена и действует Политика управления рисками и внутреннего контроля, которая определяет основные подходы и принципы организации и функционирования системы управления рисками и внутреннего контроля Общества (далее – СУР и ВК). </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В 2024 году во исполнение поручения Совета директоров Общества от 10.06.2024 (протокол от 10.06.2024 № 335) утверждена Программа развития системы управления рисками и внутреннего контроля АО «Чеченэнерго» на 2024-2025 гг. (приказ от 29.08.2024 № 259).</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Ключевые мероприятия, направленные на развитие СУР и ВК, реализованные в 2024 году:</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внесение изменений в штатное расписание АО «Чеченэнерго» в части организации подразделения по управлению рисками и внутреннему контролю;</w:t>
      </w:r>
    </w:p>
    <w:p w:rsidR="00A10DA8" w:rsidRDefault="00CA7E8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разработка и утверждение Положения о подразделении по управлению рисками и внутреннему контролю и должностных инструкций работников.</w:t>
      </w:r>
    </w:p>
    <w:p w:rsidR="00A10DA8" w:rsidRDefault="00A10DA8">
      <w:pPr>
        <w:spacing w:after="0" w:line="240" w:lineRule="auto"/>
        <w:ind w:right="-142"/>
        <w:contextualSpacing/>
        <w:jc w:val="both"/>
        <w:rPr>
          <w:rFonts w:ascii="Times New Roman" w:hAnsi="Times New Roman" w:cs="Times New Roman"/>
          <w:sz w:val="24"/>
          <w:szCs w:val="24"/>
        </w:rPr>
      </w:pPr>
    </w:p>
    <w:p w:rsidR="00A10DA8" w:rsidRDefault="00CA7E8A">
      <w:pPr>
        <w:spacing w:after="0" w:line="240" w:lineRule="auto"/>
        <w:ind w:right="-142"/>
        <w:contextualSpacing/>
        <w:jc w:val="center"/>
        <w:rPr>
          <w:rFonts w:ascii="Times New Roman" w:hAnsi="Times New Roman" w:cs="Times New Roman"/>
          <w:sz w:val="24"/>
          <w:szCs w:val="24"/>
        </w:rPr>
      </w:pPr>
      <w:r>
        <w:rPr>
          <w:rFonts w:ascii="Times New Roman" w:hAnsi="Times New Roman" w:cs="Times New Roman"/>
          <w:b/>
          <w:bCs/>
          <w:sz w:val="24"/>
          <w:szCs w:val="24"/>
        </w:rPr>
        <w:t>Управление рисками и внутренний контроль</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992"/>
        <w:gridCol w:w="992"/>
        <w:gridCol w:w="992"/>
        <w:gridCol w:w="850"/>
        <w:gridCol w:w="1136"/>
      </w:tblGrid>
      <w:tr w:rsidR="00A10DA8">
        <w:trPr>
          <w:cantSplit/>
          <w:trHeight w:val="60"/>
          <w:jc w:val="center"/>
        </w:trPr>
        <w:tc>
          <w:tcPr>
            <w:tcW w:w="4390" w:type="dxa"/>
            <w:vMerge w:val="restart"/>
            <w:vAlign w:val="center"/>
          </w:tcPr>
          <w:p w:rsidR="00A10DA8" w:rsidRDefault="00CA7E8A">
            <w:pPr>
              <w:widowControl w:val="0"/>
              <w:spacing w:after="0" w:line="240" w:lineRule="auto"/>
              <w:ind w:left="-113" w:right="-114"/>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Показатели</w:t>
            </w:r>
          </w:p>
        </w:tc>
        <w:tc>
          <w:tcPr>
            <w:tcW w:w="992" w:type="dxa"/>
            <w:vMerge w:val="restart"/>
            <w:vAlign w:val="center"/>
          </w:tcPr>
          <w:p w:rsidR="00A10DA8" w:rsidRDefault="00CA7E8A">
            <w:pPr>
              <w:widowControl w:val="0"/>
              <w:tabs>
                <w:tab w:val="left" w:pos="40"/>
              </w:tabs>
              <w:spacing w:after="0" w:line="240" w:lineRule="auto"/>
              <w:ind w:left="-111" w:right="-112"/>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Ед.изм.</w:t>
            </w:r>
          </w:p>
        </w:tc>
        <w:tc>
          <w:tcPr>
            <w:tcW w:w="3970" w:type="dxa"/>
            <w:gridSpan w:val="4"/>
            <w:vAlign w:val="center"/>
          </w:tcPr>
          <w:p w:rsidR="00A10DA8" w:rsidRDefault="00CA7E8A">
            <w:pPr>
              <w:widowControl w:val="0"/>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Период</w:t>
            </w:r>
          </w:p>
        </w:tc>
      </w:tr>
      <w:tr w:rsidR="00A10DA8">
        <w:trPr>
          <w:cantSplit/>
          <w:jc w:val="center"/>
        </w:trPr>
        <w:tc>
          <w:tcPr>
            <w:tcW w:w="4390" w:type="dxa"/>
            <w:vMerge/>
            <w:vAlign w:val="center"/>
          </w:tcPr>
          <w:p w:rsidR="00A10DA8" w:rsidRDefault="00A10DA8">
            <w:pPr>
              <w:widowControl w:val="0"/>
              <w:spacing w:after="0" w:line="240" w:lineRule="auto"/>
              <w:ind w:left="426" w:right="-143" w:hanging="426"/>
              <w:jc w:val="center"/>
              <w:rPr>
                <w:rFonts w:ascii="Times New Roman" w:eastAsia="Times New Roman" w:hAnsi="Times New Roman" w:cs="Times New Roman"/>
                <w:b/>
                <w:bCs/>
                <w:color w:val="000000"/>
                <w:sz w:val="18"/>
                <w:szCs w:val="18"/>
                <w:lang w:eastAsia="ru-RU"/>
              </w:rPr>
            </w:pPr>
          </w:p>
        </w:tc>
        <w:tc>
          <w:tcPr>
            <w:tcW w:w="992" w:type="dxa"/>
            <w:vMerge/>
            <w:vAlign w:val="center"/>
          </w:tcPr>
          <w:p w:rsidR="00A10DA8" w:rsidRDefault="00A10DA8">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18"/>
                <w:szCs w:val="18"/>
                <w:lang w:eastAsia="ru-RU"/>
              </w:rPr>
            </w:pPr>
          </w:p>
        </w:tc>
        <w:tc>
          <w:tcPr>
            <w:tcW w:w="992" w:type="dxa"/>
            <w:vAlign w:val="center"/>
          </w:tcPr>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2022 г.</w:t>
            </w:r>
          </w:p>
          <w:p w:rsidR="00A10DA8" w:rsidRDefault="00CA7E8A">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992" w:type="dxa"/>
            <w:shd w:val="clear" w:color="auto" w:fill="auto"/>
            <w:vAlign w:val="center"/>
          </w:tcPr>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2023 г.</w:t>
            </w:r>
          </w:p>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850" w:type="dxa"/>
            <w:shd w:val="clear" w:color="auto" w:fill="auto"/>
            <w:vAlign w:val="center"/>
          </w:tcPr>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2024 г.</w:t>
            </w:r>
          </w:p>
          <w:p w:rsidR="00A10DA8" w:rsidRDefault="00CA7E8A">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w:t>
            </w:r>
          </w:p>
        </w:tc>
        <w:tc>
          <w:tcPr>
            <w:tcW w:w="1136" w:type="dxa"/>
            <w:shd w:val="clear" w:color="auto" w:fill="auto"/>
            <w:vAlign w:val="center"/>
          </w:tcPr>
          <w:p w:rsidR="00A10DA8" w:rsidRDefault="00CA7E8A">
            <w:pPr>
              <w:widowControl w:val="0"/>
              <w:spacing w:after="0" w:line="240" w:lineRule="auto"/>
              <w:ind w:left="-107" w:right="-143"/>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изменение 2024/2023, %</w:t>
            </w:r>
          </w:p>
        </w:tc>
      </w:tr>
      <w:tr w:rsidR="00A10DA8">
        <w:trPr>
          <w:cantSplit/>
          <w:trHeight w:val="275"/>
          <w:jc w:val="center"/>
        </w:trPr>
        <w:tc>
          <w:tcPr>
            <w:tcW w:w="4390" w:type="dxa"/>
            <w:vAlign w:val="center"/>
          </w:tcPr>
          <w:p w:rsidR="00A10DA8" w:rsidRDefault="00CA7E8A">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Количество проведенных контрольных мероприятий, направленных на выявление и минимизацию рисков</w:t>
            </w:r>
          </w:p>
        </w:tc>
        <w:tc>
          <w:tcPr>
            <w:tcW w:w="992" w:type="dxa"/>
            <w:vAlign w:val="center"/>
          </w:tcPr>
          <w:p w:rsidR="00A10DA8" w:rsidRDefault="00CA7E8A">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шт.</w:t>
            </w:r>
          </w:p>
        </w:tc>
        <w:tc>
          <w:tcPr>
            <w:tcW w:w="992" w:type="dxa"/>
            <w:vAlign w:val="center"/>
          </w:tcPr>
          <w:p w:rsidR="00A10DA8" w:rsidRDefault="00CA7E8A">
            <w:pPr>
              <w:spacing w:after="0" w:line="240" w:lineRule="auto"/>
              <w:rPr>
                <w:rFonts w:ascii="Times New Roman" w:hAnsi="Times New Roman" w:cs="Times New Roman"/>
                <w:sz w:val="18"/>
                <w:szCs w:val="18"/>
              </w:rPr>
            </w:pPr>
            <w:r>
              <w:rPr>
                <w:rFonts w:ascii="Times New Roman" w:hAnsi="Times New Roman" w:cs="Times New Roman"/>
                <w:bCs/>
                <w:color w:val="000000"/>
                <w:sz w:val="20"/>
                <w:szCs w:val="20"/>
              </w:rPr>
              <w:t>806</w:t>
            </w:r>
          </w:p>
        </w:tc>
        <w:tc>
          <w:tcPr>
            <w:tcW w:w="992" w:type="dxa"/>
            <w:shd w:val="clear" w:color="auto" w:fill="auto"/>
            <w:vAlign w:val="center"/>
          </w:tcPr>
          <w:p w:rsidR="00A10DA8" w:rsidRDefault="00CA7E8A">
            <w:pPr>
              <w:widowControl w:val="0"/>
              <w:spacing w:after="0" w:line="240" w:lineRule="auto"/>
              <w:ind w:right="-143"/>
              <w:rPr>
                <w:rFonts w:ascii="Times New Roman" w:hAnsi="Times New Roman" w:cs="Times New Roman"/>
                <w:bCs/>
                <w:color w:val="000000"/>
                <w:sz w:val="18"/>
                <w:szCs w:val="18"/>
              </w:rPr>
            </w:pPr>
            <w:r>
              <w:rPr>
                <w:rFonts w:ascii="Times New Roman" w:hAnsi="Times New Roman" w:cs="Times New Roman"/>
                <w:bCs/>
                <w:color w:val="000000"/>
                <w:sz w:val="20"/>
                <w:szCs w:val="20"/>
                <w:lang w:val="en-US"/>
              </w:rPr>
              <w:t>806</w:t>
            </w:r>
          </w:p>
        </w:tc>
        <w:tc>
          <w:tcPr>
            <w:tcW w:w="850" w:type="dxa"/>
            <w:shd w:val="clear" w:color="auto" w:fill="auto"/>
            <w:vAlign w:val="center"/>
          </w:tcPr>
          <w:p w:rsidR="00A10DA8" w:rsidRDefault="00CA7E8A">
            <w:pPr>
              <w:widowControl w:val="0"/>
              <w:spacing w:after="0" w:line="240" w:lineRule="auto"/>
              <w:ind w:right="-143"/>
              <w:rPr>
                <w:rFonts w:ascii="Times New Roman" w:hAnsi="Times New Roman" w:cs="Times New Roman"/>
                <w:bCs/>
                <w:color w:val="000000"/>
                <w:sz w:val="18"/>
                <w:szCs w:val="18"/>
                <w:lang w:val="en-US"/>
              </w:rPr>
            </w:pPr>
            <w:r>
              <w:rPr>
                <w:rFonts w:ascii="Times New Roman" w:hAnsi="Times New Roman" w:cs="Times New Roman"/>
                <w:bCs/>
                <w:color w:val="000000"/>
                <w:sz w:val="20"/>
                <w:szCs w:val="20"/>
                <w:lang w:val="en-US"/>
              </w:rPr>
              <w:t>80</w:t>
            </w:r>
            <w:r>
              <w:rPr>
                <w:rFonts w:ascii="Times New Roman" w:hAnsi="Times New Roman" w:cs="Times New Roman"/>
                <w:bCs/>
                <w:color w:val="000000"/>
                <w:sz w:val="20"/>
                <w:szCs w:val="20"/>
              </w:rPr>
              <w:t>9</w:t>
            </w:r>
          </w:p>
        </w:tc>
        <w:tc>
          <w:tcPr>
            <w:tcW w:w="1136" w:type="dxa"/>
            <w:shd w:val="clear" w:color="auto" w:fill="auto"/>
            <w:vAlign w:val="center"/>
          </w:tcPr>
          <w:p w:rsidR="00A10DA8" w:rsidRDefault="00CA7E8A">
            <w:pPr>
              <w:widowControl w:val="0"/>
              <w:spacing w:after="0" w:line="240" w:lineRule="auto"/>
              <w:ind w:right="-143"/>
              <w:rPr>
                <w:rFonts w:ascii="Times New Roman" w:hAnsi="Times New Roman" w:cs="Times New Roman"/>
                <w:bCs/>
                <w:sz w:val="18"/>
                <w:szCs w:val="18"/>
              </w:rPr>
            </w:pPr>
            <w:r>
              <w:rPr>
                <w:rFonts w:ascii="Times New Roman" w:hAnsi="Times New Roman" w:cs="Times New Roman"/>
                <w:bCs/>
                <w:sz w:val="20"/>
                <w:szCs w:val="20"/>
              </w:rPr>
              <w:t>100,4</w:t>
            </w:r>
          </w:p>
        </w:tc>
      </w:tr>
      <w:tr w:rsidR="00A10DA8">
        <w:trPr>
          <w:cantSplit/>
          <w:trHeight w:val="58"/>
          <w:jc w:val="center"/>
        </w:trPr>
        <w:tc>
          <w:tcPr>
            <w:tcW w:w="4390" w:type="dxa"/>
            <w:vAlign w:val="center"/>
          </w:tcPr>
          <w:p w:rsidR="00A10DA8" w:rsidRDefault="00CA7E8A">
            <w:pPr>
              <w:tabs>
                <w:tab w:val="left" w:pos="9356"/>
              </w:tabs>
              <w:spacing w:after="0" w:line="240" w:lineRule="auto"/>
              <w:ind w:right="39"/>
              <w:jc w:val="both"/>
              <w:rPr>
                <w:rFonts w:ascii="Times New Roman" w:hAnsi="Times New Roman" w:cs="Times New Roman"/>
                <w:color w:val="000000"/>
                <w:sz w:val="18"/>
                <w:szCs w:val="18"/>
              </w:rPr>
            </w:pPr>
            <w:r>
              <w:rPr>
                <w:rFonts w:ascii="Times New Roman" w:hAnsi="Times New Roman" w:cs="Times New Roman"/>
                <w:color w:val="000000"/>
                <w:sz w:val="18"/>
                <w:szCs w:val="18"/>
              </w:rPr>
              <w:t>Количество устраненных нарушений по результатам проверок, проведенных внешними органами контроля</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шт. (%)</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992"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850"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r w:rsidR="00A10DA8">
        <w:trPr>
          <w:cantSplit/>
          <w:trHeight w:val="58"/>
          <w:jc w:val="center"/>
        </w:trPr>
        <w:tc>
          <w:tcPr>
            <w:tcW w:w="4390" w:type="dxa"/>
            <w:vAlign w:val="center"/>
          </w:tcPr>
          <w:p w:rsidR="00A10DA8" w:rsidRDefault="00CA7E8A">
            <w:pPr>
              <w:tabs>
                <w:tab w:val="left" w:pos="9356"/>
              </w:tabs>
              <w:spacing w:after="0" w:line="240" w:lineRule="auto"/>
              <w:ind w:right="39"/>
              <w:jc w:val="both"/>
              <w:rPr>
                <w:rFonts w:ascii="Times New Roman" w:hAnsi="Times New Roman" w:cs="Times New Roman"/>
                <w:color w:val="000000"/>
                <w:sz w:val="18"/>
                <w:szCs w:val="18"/>
              </w:rPr>
            </w:pPr>
            <w:r>
              <w:rPr>
                <w:rFonts w:ascii="Times New Roman" w:eastAsia="Times New Roman" w:hAnsi="Times New Roman" w:cs="Times New Roman"/>
                <w:color w:val="000000"/>
                <w:sz w:val="18"/>
                <w:szCs w:val="18"/>
                <w:lang w:eastAsia="ru-RU"/>
              </w:rPr>
              <w:t>Общая сумма отмененных штрафов по результатам обжалования постановлений о привлечении к административной ответственности</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млн руб.</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992"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850"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r w:rsidR="00A10DA8">
        <w:trPr>
          <w:cantSplit/>
          <w:trHeight w:val="58"/>
          <w:jc w:val="center"/>
        </w:trPr>
        <w:tc>
          <w:tcPr>
            <w:tcW w:w="4390" w:type="dxa"/>
            <w:vAlign w:val="center"/>
          </w:tcPr>
          <w:p w:rsidR="00A10DA8" w:rsidRDefault="00CA7E8A">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Общая сумма поступивших в бюджет Общества денежных средств от контрагентов, находящихся в процедурах банкротства и ликвидации</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млн руб.</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20"/>
                <w:szCs w:val="20"/>
                <w:lang w:eastAsia="ru-RU"/>
              </w:rPr>
              <w:t>8,8</w:t>
            </w:r>
          </w:p>
        </w:tc>
        <w:tc>
          <w:tcPr>
            <w:tcW w:w="992" w:type="dxa"/>
            <w:shd w:val="clear" w:color="auto" w:fill="auto"/>
            <w:vAlign w:val="center"/>
          </w:tcPr>
          <w:p w:rsidR="00A10DA8" w:rsidRDefault="00CA7E8A">
            <w:pPr>
              <w:widowControl w:val="0"/>
              <w:spacing w:after="0" w:line="240" w:lineRule="auto"/>
              <w:ind w:right="-115"/>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20"/>
                <w:szCs w:val="20"/>
                <w:lang w:val="en-US" w:eastAsia="ru-RU"/>
              </w:rPr>
              <w:t>1,5</w:t>
            </w:r>
          </w:p>
        </w:tc>
        <w:tc>
          <w:tcPr>
            <w:tcW w:w="850" w:type="dxa"/>
            <w:shd w:val="clear" w:color="auto" w:fill="auto"/>
            <w:vAlign w:val="center"/>
          </w:tcPr>
          <w:p w:rsidR="00A10DA8" w:rsidRDefault="00CA7E8A">
            <w:pPr>
              <w:widowControl w:val="0"/>
              <w:spacing w:after="0" w:line="240" w:lineRule="auto"/>
              <w:ind w:right="-115"/>
              <w:rPr>
                <w:rFonts w:ascii="Times New Roman" w:eastAsia="Times New Roman" w:hAnsi="Times New Roman" w:cs="Times New Roman"/>
                <w:bCs/>
                <w:color w:val="000000"/>
                <w:sz w:val="18"/>
                <w:szCs w:val="18"/>
                <w:lang w:val="en-US" w:eastAsia="ru-RU"/>
              </w:rPr>
            </w:pPr>
            <w:r>
              <w:rPr>
                <w:rFonts w:ascii="Times New Roman" w:eastAsia="Times New Roman" w:hAnsi="Times New Roman" w:cs="Times New Roman"/>
                <w:bCs/>
                <w:color w:val="000000"/>
                <w:sz w:val="20"/>
                <w:szCs w:val="20"/>
                <w:lang w:val="en-US" w:eastAsia="ru-RU"/>
              </w:rPr>
              <w:t>4,6</w:t>
            </w:r>
          </w:p>
        </w:tc>
        <w:tc>
          <w:tcPr>
            <w:tcW w:w="1136"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color w:val="000000"/>
                <w:sz w:val="18"/>
                <w:szCs w:val="18"/>
                <w:lang w:val="en-US" w:eastAsia="ru-RU"/>
              </w:rPr>
            </w:pPr>
            <w:r>
              <w:rPr>
                <w:rFonts w:ascii="Times New Roman" w:eastAsia="Times New Roman" w:hAnsi="Times New Roman" w:cs="Times New Roman"/>
                <w:color w:val="000000"/>
                <w:sz w:val="20"/>
                <w:szCs w:val="20"/>
                <w:lang w:eastAsia="ru-RU"/>
              </w:rPr>
              <w:t>206,7</w:t>
            </w:r>
          </w:p>
        </w:tc>
      </w:tr>
      <w:tr w:rsidR="00A10DA8">
        <w:trPr>
          <w:cantSplit/>
          <w:trHeight w:val="365"/>
          <w:jc w:val="center"/>
        </w:trPr>
        <w:tc>
          <w:tcPr>
            <w:tcW w:w="4390" w:type="dxa"/>
            <w:vAlign w:val="center"/>
          </w:tcPr>
          <w:p w:rsidR="00A10DA8" w:rsidRDefault="00CA7E8A">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Общая сумма сэкономленных Обществом денежных средств в связи с приобретением на торгах собственной задолженности перед должниками, находящимися в процедурах банкротства</w:t>
            </w: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млн руб.</w:t>
            </w:r>
          </w:p>
          <w:p w:rsidR="00A10DA8" w:rsidRDefault="00A10DA8">
            <w:pPr>
              <w:widowControl w:val="0"/>
              <w:spacing w:after="0" w:line="240" w:lineRule="auto"/>
              <w:ind w:right="-143"/>
              <w:rPr>
                <w:rFonts w:ascii="Times New Roman" w:eastAsia="Times New Roman" w:hAnsi="Times New Roman" w:cs="Times New Roman"/>
                <w:bCs/>
                <w:color w:val="000000"/>
                <w:sz w:val="18"/>
                <w:szCs w:val="18"/>
                <w:lang w:eastAsia="ru-RU"/>
              </w:rPr>
            </w:pPr>
          </w:p>
        </w:tc>
        <w:tc>
          <w:tcPr>
            <w:tcW w:w="992" w:type="dxa"/>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992"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850"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bCs/>
                <w:color w:val="000000"/>
                <w:sz w:val="18"/>
                <w:szCs w:val="18"/>
                <w:lang w:eastAsia="ru-RU"/>
              </w:rPr>
            </w:pPr>
            <w:r>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A10DA8" w:rsidRDefault="00CA7E8A">
            <w:pPr>
              <w:widowControl w:val="0"/>
              <w:spacing w:after="0" w:line="240" w:lineRule="auto"/>
              <w:ind w:right="-143"/>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bl>
    <w:p w:rsidR="00A10DA8" w:rsidRDefault="00A10DA8">
      <w:pPr>
        <w:spacing w:after="0" w:line="240" w:lineRule="auto"/>
        <w:ind w:right="-142"/>
        <w:contextualSpacing/>
        <w:jc w:val="both"/>
        <w:rPr>
          <w:rFonts w:ascii="Times New Roman" w:hAnsi="Times New Roman" w:cs="Times New Roman"/>
          <w:sz w:val="24"/>
          <w:szCs w:val="24"/>
        </w:rPr>
      </w:pPr>
    </w:p>
    <w:p w:rsidR="00A10DA8" w:rsidRDefault="00CA7E8A">
      <w:pPr>
        <w:pStyle w:val="1"/>
        <w:ind w:firstLine="709"/>
      </w:pPr>
      <w:bookmarkStart w:id="49" w:name="_Toc100218039"/>
      <w:bookmarkStart w:id="50" w:name="_Toc195780440"/>
      <w:r>
        <w:t>Ревизионная комиссия</w:t>
      </w:r>
      <w:bookmarkEnd w:id="49"/>
      <w:bookmarkEnd w:id="50"/>
      <w:r>
        <w:t xml:space="preserve"> </w:t>
      </w:r>
    </w:p>
    <w:p w:rsidR="00A10DA8" w:rsidRDefault="00A10DA8">
      <w:pPr>
        <w:spacing w:after="0" w:line="240" w:lineRule="auto"/>
        <w:rPr>
          <w:sz w:val="24"/>
          <w:szCs w:val="24"/>
          <w:lang w:eastAsia="ru-RU"/>
        </w:rPr>
      </w:pP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со статьей 24 Устава АО «Чеченэнерго» для осуществления контроля за финансово-хозяйственной деятельностью Общества Общим собранием акционеров избирается Ревизионная комиссия Общества на срок до следующего годового Общего собрания акционеров.</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своей деятельности Ревизионная комиссия Общества руководствуется Федеральным законом «Об акционерных обществах», а также иными нормативными правовыми актами Российской Федерации, Уставом Общества, Положением о Ревизионной комиссии.</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Компетенция Ревизионной комиссии установлена статьей 85 Федерального закона «Об акционерных обществах» и статьей 24 Устава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 компетенции Ревизионной комиссии Общества относится:</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настоящему Уставу и внутренним документам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и анализ финансового состояния Общества, его платежеспособности, функционирования системы управления рисками и внутреннего контроля, ликвидности активов, соотношения собственных и заемных средств, правильности и своевременности начисления и выплаты процентов по облигациям, доходов по иным ценным бумагам;</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расходованием денежных средств Общества в соответствии с утвержденным бизнес-планом и бюджетом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формированием и использованием резервного и иных фондов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своевременности и правильности ведения расчетных операций с контрагентами и бюджетом, а также расчетных операций по оплате труда, социальному страхованию, начислению и выплате дивидендов и других расчетных операций;</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соблюдением установленного порядка списания на убытки Общества задолженности неплатежеспособных дебиторов;</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хозяйственных операций Общества, осуществляемых в соответствии с заключенными договорами;</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проверка соблюдения при использовании материальных, трудовых и финансовых ресурсов в финансово-хозяйственной деятельности действующих договоров, норм и нормативов, утвержденных смет и других документов, регламентирующих деятельность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сохранностью и использованием основных средств;</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кассы и имущества Общества, эффективности использования активов и иных ресурсов Общества, выявление причин непроизводственных потерь и расходов, выявление резервов улучшения финансового состояния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проверка выполнения предписаний по устранению нарушений и недостатков, ранее выявленных Ревизионной комиссией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выработка рекомендаций для органов управления Общества;</w:t>
      </w:r>
    </w:p>
    <w:p w:rsidR="00A10DA8" w:rsidRDefault="00CA7E8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иных действий (мероприятий), связанных с проверкой финансово-хозяйственной деятельности Общества.</w:t>
      </w:r>
    </w:p>
    <w:p w:rsidR="00A10DA8" w:rsidRDefault="00A10DA8">
      <w:pPr>
        <w:spacing w:after="0" w:line="240" w:lineRule="auto"/>
        <w:ind w:firstLine="709"/>
        <w:jc w:val="both"/>
        <w:rPr>
          <w:rFonts w:ascii="Times New Roman" w:eastAsia="Times New Roman" w:hAnsi="Times New Roman" w:cs="Times New Roman"/>
          <w:b/>
          <w:sz w:val="24"/>
          <w:szCs w:val="24"/>
          <w:lang w:eastAsia="ru-RU"/>
        </w:rPr>
      </w:pPr>
    </w:p>
    <w:p w:rsidR="00A10DA8" w:rsidRDefault="00CA7E8A">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Функционал и результаты деятельности Ревизионной комиссии в отчетном году</w:t>
      </w:r>
    </w:p>
    <w:p w:rsidR="00A10DA8" w:rsidRDefault="00A10DA8">
      <w:pPr>
        <w:spacing w:after="0" w:line="240" w:lineRule="auto"/>
        <w:ind w:firstLine="709"/>
        <w:jc w:val="both"/>
        <w:rPr>
          <w:rFonts w:ascii="Times New Roman" w:eastAsia="Times New Roman" w:hAnsi="Times New Roman" w:cs="Times New Roman"/>
          <w:b/>
          <w:sz w:val="24"/>
          <w:szCs w:val="24"/>
          <w:lang w:eastAsia="ru-RU"/>
        </w:rPr>
      </w:pP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Положение о Ревизионной комиссии АО «Чеченэнерго» в новой редакции утверждено решением годового Общего собрания акционеров АО «Чеченэнерго» 22.06.2022 (протокол от 22.06.2022 № 25). Согласно пункту 2 Положения о Ревизионной комиссии задачами Ревизионной комиссии Общества являются:</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1) осуществление контроля за финансово-хозяйственной деятельностью Общества;</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2) осуществление независимой оценки достоверности данных, содержащихся в годовом отчете Общества, годовой бухгалтерской (финансовой) отчетности Общества.</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В 2024 году Ревизионной комиссией Общества проведена ревизионная проверка финансово-хозяйственной деятельности АО «Чеченэнерго» за 2023 год. Программа проверки финансово-хозяйственной деятельности АО «Чеченэнерго» за 2023 год утверждена решением Ревизионной комиссии АО «Чеченэнерго» от 17.01.2024 (протокол от 17.01.2024 № 3).</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 xml:space="preserve">Указанная Программа включала следующие вопросы: </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1.</w:t>
      </w:r>
      <w:r>
        <w:rPr>
          <w:rFonts w:ascii="Times New Roman" w:eastAsia="MS Mincho" w:hAnsi="Times New Roman" w:cs="Times New Roman"/>
          <w:sz w:val="24"/>
          <w:szCs w:val="24"/>
          <w:lang w:eastAsia="ru-RU"/>
        </w:rPr>
        <w:tab/>
        <w:t>Оценка достоверности годовой бухгалтерской (финансовой) отчетности, сформированной по состоянию на 31.12.2023.</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2.</w:t>
      </w:r>
      <w:r>
        <w:rPr>
          <w:rFonts w:ascii="Times New Roman" w:eastAsia="MS Mincho" w:hAnsi="Times New Roman" w:cs="Times New Roman"/>
          <w:sz w:val="24"/>
          <w:szCs w:val="24"/>
          <w:lang w:eastAsia="ru-RU"/>
        </w:rPr>
        <w:tab/>
        <w:t>Анализ финансового положения и финансового состояния Общества по состоянию на 31.12.2023.</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3.</w:t>
      </w:r>
      <w:r>
        <w:rPr>
          <w:rFonts w:ascii="Times New Roman" w:eastAsia="MS Mincho" w:hAnsi="Times New Roman" w:cs="Times New Roman"/>
          <w:sz w:val="24"/>
          <w:szCs w:val="24"/>
          <w:lang w:eastAsia="ru-RU"/>
        </w:rPr>
        <w:tab/>
        <w:t>Оценка достоверности Годового отчета Общества за 2023 год.</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4.</w:t>
      </w:r>
      <w:r>
        <w:rPr>
          <w:rFonts w:ascii="Times New Roman" w:eastAsia="MS Mincho" w:hAnsi="Times New Roman" w:cs="Times New Roman"/>
          <w:sz w:val="24"/>
          <w:szCs w:val="24"/>
          <w:lang w:eastAsia="ru-RU"/>
        </w:rPr>
        <w:tab/>
        <w:t>Проверка исполнения законодательства Российской Федерации в части соблюдения порядка заключения сделок с заинтересованностью.</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5.</w:t>
      </w:r>
      <w:r>
        <w:rPr>
          <w:rFonts w:ascii="Times New Roman" w:eastAsia="MS Mincho" w:hAnsi="Times New Roman" w:cs="Times New Roman"/>
          <w:sz w:val="24"/>
          <w:szCs w:val="24"/>
          <w:lang w:eastAsia="ru-RU"/>
        </w:rPr>
        <w:tab/>
        <w:t xml:space="preserve">Проверка деятельности Общества в области организации технологического и ценового аудитов отчетности о реализации инвестиционной программы Общества, а также мер направленных на устранение нарушений и недостатков, содержащихся в заключениях экспертных организаций, подготовленных по результатам технологического и ценового аудита отчетов о реализации инвестиционной программы общества. </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6. Иные вопросы.</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Заключение Ревизионной комиссии утверждено Ревизионной комиссией АО «Чеченэнерго» от 18.04.2024 (протокол от 18.04.2024 № 4), согласно которому Ревизионная комиссия в соответствии со статьей 88 Федерального закона от 26.12.1995 № 208-ФЗ «Об акционерных обществах» выражает мнение о достоверности данных во всех существенных отношениях, содержащихся в годовом отчете Общества за 2023 год и в годовой бухгалтерской (финансовой) отчетности Общества за 2023 год.</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 xml:space="preserve">Не изменяя мнения о достоверности Отчетности, Ревизионная комиссия обращает внимание, что стоимость чистых активов (строка 3600 Отчета об изменении капитала за 2023 </w:t>
      </w:r>
      <w:r>
        <w:rPr>
          <w:rFonts w:ascii="Times New Roman" w:eastAsia="MS Mincho" w:hAnsi="Times New Roman" w:cs="Times New Roman"/>
          <w:sz w:val="24"/>
          <w:szCs w:val="24"/>
          <w:lang w:eastAsia="ru-RU"/>
        </w:rPr>
        <w:lastRenderedPageBreak/>
        <w:t>год) по состоянию на 31.12.2023, 31.12.2022, 30.12.2021 меньше уставного капитала Общества.</w:t>
      </w:r>
    </w:p>
    <w:p w:rsidR="00A10DA8" w:rsidRDefault="00CA7E8A">
      <w:pPr>
        <w:spacing w:after="0" w:line="240" w:lineRule="auto"/>
        <w:ind w:right="-143" w:firstLine="709"/>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В 2024 году действовало два состава Ревизионной комиссии.</w:t>
      </w:r>
    </w:p>
    <w:p w:rsidR="00A10DA8" w:rsidRDefault="00CA7E8A">
      <w:pPr>
        <w:spacing w:after="0" w:line="240" w:lineRule="auto"/>
        <w:ind w:right="-143"/>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ab/>
        <w:t>В соответствии с Уставом количественный состав Ревизионной комиссии Общества составляет 3 человека.</w:t>
      </w:r>
    </w:p>
    <w:p w:rsidR="00A10DA8" w:rsidRDefault="00A10DA8">
      <w:pPr>
        <w:spacing w:after="0" w:line="240" w:lineRule="auto"/>
        <w:ind w:right="-143"/>
        <w:contextualSpacing/>
        <w:jc w:val="both"/>
        <w:rPr>
          <w:rFonts w:ascii="Times New Roman" w:eastAsia="MS Mincho" w:hAnsi="Times New Roman" w:cs="Times New Roman"/>
          <w:sz w:val="24"/>
          <w:szCs w:val="24"/>
          <w:lang w:eastAsia="ru-RU"/>
        </w:rPr>
      </w:pPr>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Действующий по состоянию на 31.12.2024 состав Ревизионной комиссии АО «Чеченэнерго», избранный годовым Общим собранием акционеров АО «Чеченэнерго» 29.05.2024 (протокол от 29.05.2024 № 28) (должности указаны на момент избрания)</w:t>
      </w:r>
    </w:p>
    <w:tbl>
      <w:tblPr>
        <w:tblStyle w:val="afa"/>
        <w:tblW w:w="0" w:type="auto"/>
        <w:tblInd w:w="-431" w:type="dxa"/>
        <w:tblLook w:val="04A0" w:firstRow="1" w:lastRow="0" w:firstColumn="1" w:lastColumn="0" w:noHBand="0" w:noVBand="1"/>
      </w:tblPr>
      <w:tblGrid>
        <w:gridCol w:w="3114"/>
        <w:gridCol w:w="2132"/>
        <w:gridCol w:w="4394"/>
      </w:tblGrid>
      <w:tr w:rsidR="00A10DA8">
        <w:tc>
          <w:tcPr>
            <w:tcW w:w="3114" w:type="dxa"/>
          </w:tcPr>
          <w:p w:rsidR="00A10DA8" w:rsidRDefault="00CA7E8A">
            <w:pPr>
              <w:spacing w:after="0" w:line="240" w:lineRule="auto"/>
              <w:rPr>
                <w:rFonts w:eastAsia="Calibri"/>
                <w:b/>
                <w:sz w:val="24"/>
                <w:szCs w:val="24"/>
              </w:rPr>
            </w:pPr>
            <w:r>
              <w:rPr>
                <w:rFonts w:eastAsia="Calibri"/>
                <w:b/>
              </w:rPr>
              <w:t>Ульянов Антон Сергеевич, Директор по внутреннему аудиту- начальник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Дата рождения:1979</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Образование:</w:t>
            </w:r>
          </w:p>
          <w:p w:rsidR="00A10DA8" w:rsidRDefault="00CA7E8A">
            <w:pPr>
              <w:tabs>
                <w:tab w:val="left" w:pos="1724"/>
              </w:tabs>
              <w:spacing w:after="0" w:line="240" w:lineRule="auto"/>
              <w:jc w:val="both"/>
              <w:rPr>
                <w:rFonts w:eastAsia="Calibri"/>
              </w:rPr>
            </w:pPr>
            <w:r>
              <w:rPr>
                <w:rFonts w:eastAsia="Calibri"/>
              </w:rPr>
              <w:t>ГОУВПО «Московская государственная юридическая академия».</w:t>
            </w:r>
          </w:p>
          <w:p w:rsidR="00A10DA8" w:rsidRDefault="00CA7E8A">
            <w:pPr>
              <w:tabs>
                <w:tab w:val="left" w:pos="1724"/>
              </w:tabs>
              <w:spacing w:after="0" w:line="240" w:lineRule="auto"/>
              <w:jc w:val="both"/>
              <w:rPr>
                <w:rFonts w:eastAsia="Calibri"/>
              </w:rPr>
            </w:pPr>
            <w:r>
              <w:rPr>
                <w:rFonts w:eastAsia="Calibri"/>
              </w:rPr>
              <w:t>Юриспруденция. Юрист. Год окончания – 2004.</w:t>
            </w:r>
          </w:p>
          <w:p w:rsidR="00A10DA8" w:rsidRDefault="00CA7E8A">
            <w:pPr>
              <w:tabs>
                <w:tab w:val="left" w:pos="1724"/>
              </w:tabs>
              <w:spacing w:after="0" w:line="240" w:lineRule="auto"/>
              <w:jc w:val="both"/>
              <w:rPr>
                <w:rFonts w:eastAsia="Calibri"/>
              </w:rPr>
            </w:pPr>
            <w:r>
              <w:rPr>
                <w:rFonts w:eastAsia="Calibri"/>
              </w:rPr>
              <w:t>ООО Учебный центр «ИВА», «Внутренний аудитор», уровень «профессионал». Год окончания – 2021, профессиональная переподготовка.</w:t>
            </w:r>
          </w:p>
          <w:p w:rsidR="00A10DA8" w:rsidRDefault="00CA7E8A">
            <w:pPr>
              <w:tabs>
                <w:tab w:val="left" w:pos="1724"/>
              </w:tabs>
              <w:spacing w:after="0" w:line="240" w:lineRule="auto"/>
              <w:jc w:val="both"/>
              <w:rPr>
                <w:rFonts w:eastAsia="Calibri"/>
              </w:rPr>
            </w:pPr>
            <w:r>
              <w:rPr>
                <w:rFonts w:eastAsia="Calibri"/>
              </w:rPr>
              <w:t>ООО «КУМЦ АПР», руководитель самостоятельного подразделения внутреннего контроля. Профстандарт «Специалист по внутреннему контролю (внутренний контролер) Уровень7». Год окончания – 2021, профессиональная переподготовка.</w:t>
            </w:r>
          </w:p>
          <w:p w:rsidR="00A10DA8" w:rsidRDefault="00CA7E8A">
            <w:pPr>
              <w:tabs>
                <w:tab w:val="left" w:pos="1724"/>
              </w:tabs>
              <w:spacing w:after="0" w:line="240" w:lineRule="auto"/>
              <w:jc w:val="both"/>
              <w:rPr>
                <w:rFonts w:eastAsia="Calibri"/>
              </w:rPr>
            </w:pPr>
            <w:r>
              <w:rPr>
                <w:rFonts w:eastAsia="Calibri"/>
              </w:rPr>
              <w:t>Ассоциация «Институт внутренних аудиторов», профессиональная переподготовка, Главный аудитор, год окончания – 2024</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tabs>
                <w:tab w:val="left" w:pos="1724"/>
              </w:tabs>
              <w:spacing w:after="0" w:line="240" w:lineRule="auto"/>
              <w:jc w:val="both"/>
              <w:rPr>
                <w:rFonts w:eastAsia="Calibri"/>
              </w:rPr>
            </w:pPr>
            <w:r>
              <w:rPr>
                <w:rFonts w:eastAsia="Calibri"/>
              </w:rPr>
              <w:t>2021-2022 гг. – Директор по внутреннему контролю и управлению рисками – начальник Департамента внутреннего контроля и управления рисками, Публичное акционерное общество «Федеральная сетевая компания Единой энергетической системы»;</w:t>
            </w:r>
          </w:p>
          <w:p w:rsidR="00A10DA8" w:rsidRDefault="00CA7E8A">
            <w:pPr>
              <w:tabs>
                <w:tab w:val="left" w:pos="1724"/>
              </w:tabs>
              <w:spacing w:after="0" w:line="240" w:lineRule="auto"/>
              <w:jc w:val="both"/>
              <w:rPr>
                <w:rFonts w:eastAsia="Calibri"/>
              </w:rPr>
            </w:pPr>
            <w:r>
              <w:rPr>
                <w:rFonts w:eastAsia="Calibri"/>
              </w:rPr>
              <w:t>2021-2022 гг. – Директор по внутреннему контролю и управлению рисками – начальник Департамента внутреннего контроля и управления рисками, Публичное акционерное общество «Российские сети» (по совместительству);</w:t>
            </w:r>
          </w:p>
          <w:p w:rsidR="00A10DA8" w:rsidRDefault="00CA7E8A">
            <w:pPr>
              <w:spacing w:after="0" w:line="240" w:lineRule="auto"/>
              <w:rPr>
                <w:rFonts w:eastAsia="Calibri"/>
                <w:b/>
                <w:sz w:val="24"/>
                <w:szCs w:val="24"/>
              </w:rPr>
            </w:pPr>
            <w:r>
              <w:rPr>
                <w:rFonts w:eastAsia="Calibri"/>
              </w:rPr>
              <w:t>С 2022 года – Директор по внутреннему аудиту – начальник Департамента внутреннего аудита Публичное акционерное общество «Федеральная сетевая компания – Россети».</w:t>
            </w:r>
          </w:p>
        </w:tc>
      </w:tr>
      <w:tr w:rsidR="00A10DA8">
        <w:tc>
          <w:tcPr>
            <w:tcW w:w="3114" w:type="dxa"/>
          </w:tcPr>
          <w:p w:rsidR="00A10DA8" w:rsidRDefault="00CA7E8A">
            <w:pPr>
              <w:spacing w:after="0" w:line="240" w:lineRule="auto"/>
              <w:rPr>
                <w:rFonts w:eastAsia="Calibri"/>
                <w:b/>
                <w:sz w:val="24"/>
                <w:szCs w:val="24"/>
              </w:rPr>
            </w:pPr>
            <w:r>
              <w:rPr>
                <w:rFonts w:eastAsia="Calibri"/>
                <w:b/>
              </w:rPr>
              <w:t>Мамусова Екатерина Викторовна, Главный эксперт отдела методологии и отчетности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Дата рождения:1978</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Образование:</w:t>
            </w:r>
          </w:p>
          <w:p w:rsidR="00A10DA8" w:rsidRDefault="00CA7E8A">
            <w:pPr>
              <w:tabs>
                <w:tab w:val="left" w:pos="1724"/>
              </w:tabs>
              <w:spacing w:after="0" w:line="240" w:lineRule="auto"/>
              <w:jc w:val="both"/>
              <w:rPr>
                <w:rFonts w:eastAsia="Calibri"/>
              </w:rPr>
            </w:pPr>
            <w:r>
              <w:rPr>
                <w:rFonts w:eastAsia="Calibri"/>
              </w:rPr>
              <w:t>Дальневосточный государственный технический рыбохозяйственный университет, г. Владивосток,</w:t>
            </w:r>
            <w:r>
              <w:t xml:space="preserve"> </w:t>
            </w:r>
            <w:r>
              <w:rPr>
                <w:rFonts w:eastAsia="Calibri"/>
              </w:rPr>
              <w:t xml:space="preserve">квалификация «Инженер», специальность «Технология мяса и мясных продуктов». Год окончания – 2000. </w:t>
            </w:r>
          </w:p>
          <w:p w:rsidR="00A10DA8" w:rsidRDefault="00CA7E8A">
            <w:pPr>
              <w:tabs>
                <w:tab w:val="left" w:pos="1724"/>
              </w:tabs>
              <w:spacing w:after="0" w:line="240" w:lineRule="auto"/>
              <w:jc w:val="both"/>
              <w:rPr>
                <w:rFonts w:eastAsia="Calibri"/>
              </w:rPr>
            </w:pPr>
            <w:r>
              <w:rPr>
                <w:rFonts w:eastAsia="Calibri"/>
              </w:rPr>
              <w:t>НОУ ВПО «Открытый юридический институт», г. Владивосток, экономист по специальности «бухгалтерский учет, анализ и аудит». Год окончания – 2008.</w:t>
            </w:r>
          </w:p>
          <w:p w:rsidR="00A10DA8" w:rsidRDefault="00CA7E8A">
            <w:pPr>
              <w:tabs>
                <w:tab w:val="left" w:pos="1724"/>
              </w:tabs>
              <w:spacing w:after="0" w:line="240" w:lineRule="auto"/>
              <w:jc w:val="both"/>
            </w:pPr>
            <w:r>
              <w:t>АНО ДПО «Университет Естественных и Гуманитарных Наук» г. Москва, профессиональная переподготовка, присвоена квалификация «Главный аудитор», год окончания – 2023.</w:t>
            </w:r>
          </w:p>
          <w:p w:rsidR="00A10DA8" w:rsidRDefault="00CA7E8A">
            <w:pPr>
              <w:tabs>
                <w:tab w:val="left" w:pos="1724"/>
              </w:tabs>
              <w:spacing w:after="0" w:line="240" w:lineRule="auto"/>
              <w:jc w:val="both"/>
              <w:rPr>
                <w:rFonts w:eastAsia="Calibri"/>
              </w:rPr>
            </w:pPr>
            <w:r>
              <w:lastRenderedPageBreak/>
              <w:t xml:space="preserve">Система добровольной сертификации «Консалтинг, аудит, экспертиза, оценка», квалификационный сертификат «Внутренний аудитор», код </w:t>
            </w:r>
            <w:r>
              <w:rPr>
                <w:lang w:val="en-US"/>
              </w:rPr>
              <w:t>D</w:t>
            </w:r>
            <w:r>
              <w:t xml:space="preserve"> уровень квалификации 7 «Руководство выполнением плана работы службы внутреннего аудита», год окончания – 2024.</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tabs>
                <w:tab w:val="left" w:pos="1724"/>
              </w:tabs>
              <w:spacing w:after="0" w:line="240" w:lineRule="auto"/>
              <w:jc w:val="both"/>
              <w:rPr>
                <w:rFonts w:eastAsia="Calibri"/>
              </w:rPr>
            </w:pPr>
            <w:r>
              <w:rPr>
                <w:rFonts w:eastAsia="Calibri"/>
              </w:rPr>
              <w:t xml:space="preserve">С 2016 года – Главный эксперт Группы методологии и стандартов аудита Отдела финансового аудита, главный эксперт Отдела финансового аудита, методологии и отчетности, начальник Отдела методологии и отчетности, главный эксперт Отдела методологии и отчетности Департамента внутреннего аудита, Публичное акционерное общество «Федеральная сетевая компания – Россети </w:t>
            </w:r>
            <w:r>
              <w:t>(до 12.10.2022 – ПАО «ФСК ЕЭС»)</w:t>
            </w:r>
            <w:r>
              <w:rPr>
                <w:rFonts w:eastAsia="Calibri"/>
              </w:rPr>
              <w:t>.</w:t>
            </w:r>
          </w:p>
          <w:p w:rsidR="00A10DA8" w:rsidRDefault="00CA7E8A">
            <w:pPr>
              <w:spacing w:after="0" w:line="240" w:lineRule="auto"/>
              <w:rPr>
                <w:rFonts w:eastAsia="Calibri"/>
                <w:b/>
                <w:sz w:val="24"/>
                <w:szCs w:val="24"/>
              </w:rPr>
            </w:pPr>
            <w:r>
              <w:rPr>
                <w:rFonts w:eastAsia="Calibri"/>
              </w:rPr>
              <w:t>2020-2022 гг. - Главный эксперт Отдела методологии и отчетности Департамента внутреннего аудита, ПАО «Россети» (по совместительству).</w:t>
            </w:r>
          </w:p>
        </w:tc>
      </w:tr>
      <w:tr w:rsidR="00A10DA8">
        <w:tc>
          <w:tcPr>
            <w:tcW w:w="3114" w:type="dxa"/>
          </w:tcPr>
          <w:p w:rsidR="00A10DA8" w:rsidRDefault="00CA7E8A">
            <w:pPr>
              <w:spacing w:after="0" w:line="240" w:lineRule="auto"/>
              <w:jc w:val="both"/>
              <w:rPr>
                <w:rFonts w:eastAsia="Calibri"/>
                <w:b/>
              </w:rPr>
            </w:pPr>
            <w:r>
              <w:rPr>
                <w:rFonts w:eastAsia="Calibri"/>
                <w:b/>
              </w:rPr>
              <w:lastRenderedPageBreak/>
              <w:t>Матяш Наталья Николаевна</w:t>
            </w:r>
          </w:p>
          <w:p w:rsidR="00A10DA8" w:rsidRDefault="00CA7E8A">
            <w:pPr>
              <w:spacing w:after="0" w:line="240" w:lineRule="auto"/>
              <w:rPr>
                <w:rFonts w:eastAsia="Calibri"/>
                <w:b/>
                <w:sz w:val="24"/>
                <w:szCs w:val="24"/>
              </w:rPr>
            </w:pPr>
            <w:r>
              <w:rPr>
                <w:rFonts w:eastAsia="Calibri"/>
                <w:b/>
              </w:rPr>
              <w:t>Главный эксперт  отдела Методологии и отчетности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Год рождения: 1974</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Образование:</w:t>
            </w:r>
          </w:p>
          <w:p w:rsidR="00A10DA8" w:rsidRDefault="00CA7E8A">
            <w:pPr>
              <w:tabs>
                <w:tab w:val="left" w:pos="1724"/>
              </w:tabs>
              <w:spacing w:after="0" w:line="240" w:lineRule="auto"/>
              <w:jc w:val="both"/>
              <w:rPr>
                <w:rFonts w:eastAsia="Calibri"/>
              </w:rPr>
            </w:pPr>
            <w:r>
              <w:rPr>
                <w:sz w:val="22"/>
                <w:szCs w:val="22"/>
              </w:rPr>
              <w:t>НОУ ВПО</w:t>
            </w:r>
            <w:r>
              <w:t xml:space="preserve"> </w:t>
            </w:r>
            <w:r>
              <w:rPr>
                <w:rFonts w:eastAsia="Calibri"/>
              </w:rPr>
              <w:t>«Национальный открытый институт России в г. Санкт-Петербург», квалификация «Экономист», специальность «Бухгалтерский учет, анализ, аудит». Год окончания – 2007</w:t>
            </w:r>
          </w:p>
          <w:p w:rsidR="00A10DA8" w:rsidRDefault="00CA7E8A">
            <w:pPr>
              <w:tabs>
                <w:tab w:val="left" w:pos="1724"/>
              </w:tabs>
              <w:spacing w:after="0" w:line="240" w:lineRule="auto"/>
              <w:jc w:val="both"/>
              <w:rPr>
                <w:rFonts w:eastAsia="Calibri"/>
              </w:rPr>
            </w:pPr>
            <w:r>
              <w:rPr>
                <w:rFonts w:eastAsia="Calibri"/>
              </w:rPr>
              <w:t>АНО «Национальный исследовательский институт дополнительного образования и профессионального обучения», профессиональная переподготовка по программе дополнительного профессионального образования «Внутренний аудит», квалификация «Внутренний аудитор». Год окончания – 2020.</w:t>
            </w:r>
          </w:p>
          <w:p w:rsidR="00A10DA8" w:rsidRDefault="00CA7E8A">
            <w:pPr>
              <w:tabs>
                <w:tab w:val="left" w:pos="1724"/>
              </w:tabs>
              <w:spacing w:after="0" w:line="240" w:lineRule="auto"/>
              <w:jc w:val="both"/>
              <w:rPr>
                <w:rFonts w:eastAsia="Calibri"/>
              </w:rPr>
            </w:pPr>
            <w:r>
              <w:t xml:space="preserve"> АНО ДПО «Университет Естественных и Гуманитарных Наук» г. Москва, профессиональная переподготовка, присвоена квалификация «Главный аудитор»</w:t>
            </w:r>
            <w:r>
              <w:rPr>
                <w:rFonts w:eastAsia="Calibri"/>
              </w:rPr>
              <w:t>. Год окончания – 2023.</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tabs>
                <w:tab w:val="left" w:pos="1724"/>
              </w:tabs>
              <w:spacing w:after="0" w:line="240" w:lineRule="auto"/>
              <w:jc w:val="both"/>
              <w:rPr>
                <w:rFonts w:eastAsia="Calibri"/>
              </w:rPr>
            </w:pPr>
            <w:r>
              <w:rPr>
                <w:rFonts w:eastAsia="Calibri"/>
              </w:rPr>
              <w:t xml:space="preserve">2018-2023 гг. - </w:t>
            </w:r>
            <w:r>
              <w:t xml:space="preserve">Ведущий эксперт Дирекции внутреннего аудита, </w:t>
            </w:r>
            <w:r>
              <w:rPr>
                <w:rFonts w:eastAsia="Calibri"/>
              </w:rPr>
              <w:t>Главный эксперт отдела Методологии и отчетности Департамента внутреннего аудита ПАО «Россети»;</w:t>
            </w:r>
          </w:p>
          <w:p w:rsidR="00A10DA8" w:rsidRDefault="00CA7E8A">
            <w:pPr>
              <w:tabs>
                <w:tab w:val="left" w:pos="1724"/>
              </w:tabs>
              <w:spacing w:after="0" w:line="240" w:lineRule="auto"/>
              <w:jc w:val="both"/>
            </w:pPr>
            <w:r>
              <w:rPr>
                <w:rFonts w:eastAsia="Calibri"/>
              </w:rPr>
              <w:t>2020-2022 гг. - Главный эксперт отдела Методологии и отчетности Департамента внутреннего аудита ПАО «ФСК ЕЭС»</w:t>
            </w:r>
            <w:r>
              <w:t xml:space="preserve"> (по совместительству);</w:t>
            </w:r>
          </w:p>
          <w:p w:rsidR="00A10DA8" w:rsidRDefault="00CA7E8A">
            <w:pPr>
              <w:spacing w:after="0" w:line="240" w:lineRule="auto"/>
              <w:rPr>
                <w:rFonts w:eastAsia="Calibri"/>
                <w:b/>
                <w:sz w:val="24"/>
                <w:szCs w:val="24"/>
              </w:rPr>
            </w:pPr>
            <w:r>
              <w:t>С 2023 года – главный эксперт Отдела методологии и отчетности Департамента внутреннего аудита Публичного акционерного общества «Федеральная сетевая компания – Россети.</w:t>
            </w:r>
          </w:p>
        </w:tc>
      </w:tr>
    </w:tbl>
    <w:p w:rsidR="00A10DA8" w:rsidRDefault="00A10DA8">
      <w:pPr>
        <w:spacing w:after="0" w:line="240" w:lineRule="auto"/>
        <w:ind w:left="426" w:right="-143" w:hanging="426"/>
        <w:jc w:val="right"/>
        <w:rPr>
          <w:rFonts w:ascii="Times New Roman" w:eastAsia="Calibri" w:hAnsi="Times New Roman" w:cs="Times New Roman"/>
          <w:sz w:val="28"/>
          <w:szCs w:val="28"/>
        </w:rPr>
      </w:pPr>
    </w:p>
    <w:p w:rsidR="00A10DA8" w:rsidRDefault="00CA7E8A">
      <w:pPr>
        <w:tabs>
          <w:tab w:val="left" w:pos="1636"/>
        </w:tabs>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Персональный состав Ревизионной комиссии Общества, избранный годовым Общим собранием акционеров 06.06.2023 (протокол от 07.06.2023 №27)</w:t>
      </w:r>
    </w:p>
    <w:tbl>
      <w:tblPr>
        <w:tblStyle w:val="afa"/>
        <w:tblW w:w="0" w:type="auto"/>
        <w:tblInd w:w="-431" w:type="dxa"/>
        <w:tblLook w:val="04A0" w:firstRow="1" w:lastRow="0" w:firstColumn="1" w:lastColumn="0" w:noHBand="0" w:noVBand="1"/>
      </w:tblPr>
      <w:tblGrid>
        <w:gridCol w:w="3114"/>
        <w:gridCol w:w="2132"/>
        <w:gridCol w:w="4394"/>
      </w:tblGrid>
      <w:tr w:rsidR="00A10DA8">
        <w:tc>
          <w:tcPr>
            <w:tcW w:w="3114" w:type="dxa"/>
          </w:tcPr>
          <w:p w:rsidR="00A10DA8" w:rsidRDefault="00CA7E8A">
            <w:pPr>
              <w:spacing w:after="0" w:line="240" w:lineRule="auto"/>
              <w:rPr>
                <w:rFonts w:eastAsia="Calibri"/>
                <w:b/>
                <w:sz w:val="24"/>
                <w:szCs w:val="24"/>
              </w:rPr>
            </w:pPr>
            <w:r>
              <w:rPr>
                <w:rFonts w:eastAsia="Calibri"/>
                <w:b/>
              </w:rPr>
              <w:t>Ульянов Антон Сергеевич, Директор по внутреннему аудиту- начальник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Дата рождения:1979</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Образование:</w:t>
            </w:r>
          </w:p>
          <w:p w:rsidR="00A10DA8" w:rsidRDefault="00CA7E8A">
            <w:pPr>
              <w:tabs>
                <w:tab w:val="left" w:pos="1724"/>
              </w:tabs>
              <w:spacing w:after="0" w:line="240" w:lineRule="auto"/>
              <w:jc w:val="both"/>
              <w:rPr>
                <w:rFonts w:eastAsia="Calibri"/>
              </w:rPr>
            </w:pPr>
            <w:r>
              <w:rPr>
                <w:rFonts w:eastAsia="Calibri"/>
              </w:rPr>
              <w:t>ГОУВПО «Московская государственная юридическая академия».</w:t>
            </w:r>
          </w:p>
          <w:p w:rsidR="00A10DA8" w:rsidRDefault="00CA7E8A">
            <w:pPr>
              <w:tabs>
                <w:tab w:val="left" w:pos="1724"/>
              </w:tabs>
              <w:spacing w:after="0" w:line="240" w:lineRule="auto"/>
              <w:jc w:val="both"/>
              <w:rPr>
                <w:rFonts w:eastAsia="Calibri"/>
              </w:rPr>
            </w:pPr>
            <w:r>
              <w:rPr>
                <w:rFonts w:eastAsia="Calibri"/>
              </w:rPr>
              <w:t>Юриспруденция. Юрист. Год окончания – 2004.</w:t>
            </w:r>
          </w:p>
          <w:p w:rsidR="00A10DA8" w:rsidRDefault="00CA7E8A">
            <w:pPr>
              <w:tabs>
                <w:tab w:val="left" w:pos="1724"/>
              </w:tabs>
              <w:spacing w:after="0" w:line="240" w:lineRule="auto"/>
              <w:jc w:val="both"/>
              <w:rPr>
                <w:rFonts w:eastAsia="Calibri"/>
              </w:rPr>
            </w:pPr>
            <w:r>
              <w:rPr>
                <w:rFonts w:eastAsia="Calibri"/>
              </w:rPr>
              <w:lastRenderedPageBreak/>
              <w:t>Ассоциация «Институт внутренних аудиторов», аудитор-консультант. Год окончания – 2021, профессиональная переподготовка.</w:t>
            </w:r>
          </w:p>
          <w:p w:rsidR="00A10DA8" w:rsidRDefault="00CA7E8A">
            <w:pPr>
              <w:tabs>
                <w:tab w:val="left" w:pos="1724"/>
              </w:tabs>
              <w:spacing w:after="0" w:line="240" w:lineRule="auto"/>
              <w:jc w:val="both"/>
              <w:rPr>
                <w:rFonts w:eastAsia="Calibri"/>
              </w:rPr>
            </w:pPr>
            <w:r>
              <w:rPr>
                <w:rFonts w:eastAsia="Calibri"/>
              </w:rPr>
              <w:t>ООО Учебный центр «ИВА», «Внутренний аудитор», уровень «профессионал». Год окончания – 2021, профессиональная переподготовка.</w:t>
            </w:r>
          </w:p>
          <w:p w:rsidR="00A10DA8" w:rsidRDefault="00CA7E8A">
            <w:pPr>
              <w:tabs>
                <w:tab w:val="left" w:pos="1724"/>
              </w:tabs>
              <w:spacing w:after="0" w:line="240" w:lineRule="auto"/>
              <w:jc w:val="both"/>
              <w:rPr>
                <w:rFonts w:eastAsia="Calibri"/>
              </w:rPr>
            </w:pPr>
            <w:r>
              <w:rPr>
                <w:rFonts w:eastAsia="Calibri"/>
              </w:rPr>
              <w:t>ООО «КУМЦ АПР», руководитель самостоятельного подразделения внутреннего контроля. Профстандарт «Специалист по внутреннему контролю (внутренний контролер) Уровень7». Год окончания – 2021, профессиональная переподготовка.</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tabs>
                <w:tab w:val="left" w:pos="1724"/>
              </w:tabs>
              <w:spacing w:after="0" w:line="240" w:lineRule="auto"/>
              <w:jc w:val="both"/>
              <w:rPr>
                <w:rFonts w:eastAsia="Calibri"/>
              </w:rPr>
            </w:pPr>
            <w:r>
              <w:rPr>
                <w:rFonts w:eastAsia="Calibri"/>
              </w:rPr>
              <w:t>2021-2022 гг. – Директор по внутреннему контролю и управлению рисками – начальник Департамента внутреннего контроля и управления рисками, Публичное акционерное общество «Федеральная сетевая компания Единой энергетической системы»;</w:t>
            </w:r>
          </w:p>
          <w:p w:rsidR="00A10DA8" w:rsidRDefault="00CA7E8A">
            <w:pPr>
              <w:tabs>
                <w:tab w:val="left" w:pos="1724"/>
              </w:tabs>
              <w:spacing w:after="0" w:line="240" w:lineRule="auto"/>
              <w:jc w:val="both"/>
              <w:rPr>
                <w:rFonts w:eastAsia="Calibri"/>
              </w:rPr>
            </w:pPr>
            <w:r>
              <w:rPr>
                <w:rFonts w:eastAsia="Calibri"/>
              </w:rPr>
              <w:t>2021-2022 гг. – Директор по внутреннему контролю и управлению рисками – начальник Департамента внутреннего контроля и управления рисками Публичное акционерное общество «Российские сети» (по совместительству);</w:t>
            </w:r>
          </w:p>
          <w:p w:rsidR="00A10DA8" w:rsidRDefault="00CA7E8A">
            <w:pPr>
              <w:tabs>
                <w:tab w:val="left" w:pos="1724"/>
              </w:tabs>
              <w:spacing w:after="0" w:line="240" w:lineRule="auto"/>
              <w:jc w:val="both"/>
              <w:rPr>
                <w:rFonts w:eastAsia="Calibri"/>
                <w:b/>
                <w:sz w:val="24"/>
                <w:szCs w:val="24"/>
              </w:rPr>
            </w:pPr>
            <w:r>
              <w:rPr>
                <w:rFonts w:eastAsia="Calibri"/>
              </w:rPr>
              <w:t>С 2022 года – Директор по внутреннему аудиту – начальник Департамента внутреннего аудита, Публичное акционерное общество «Федеральная сетевая компания – Россети».</w:t>
            </w:r>
          </w:p>
        </w:tc>
      </w:tr>
      <w:tr w:rsidR="00A10DA8">
        <w:tc>
          <w:tcPr>
            <w:tcW w:w="3114" w:type="dxa"/>
          </w:tcPr>
          <w:p w:rsidR="00A10DA8" w:rsidRDefault="00CA7E8A">
            <w:pPr>
              <w:spacing w:after="0" w:line="240" w:lineRule="auto"/>
              <w:rPr>
                <w:rFonts w:eastAsia="Calibri"/>
                <w:b/>
                <w:sz w:val="24"/>
                <w:szCs w:val="24"/>
              </w:rPr>
            </w:pPr>
            <w:r>
              <w:rPr>
                <w:rFonts w:eastAsia="Calibri"/>
                <w:b/>
              </w:rPr>
              <w:lastRenderedPageBreak/>
              <w:t>Ипполитова Оксана Вячеславовна, Главный эксперт управления операционного аудита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Дата рождения:1971</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jc w:val="center"/>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Образование:</w:t>
            </w:r>
          </w:p>
          <w:p w:rsidR="00A10DA8" w:rsidRDefault="00CA7E8A">
            <w:pPr>
              <w:tabs>
                <w:tab w:val="left" w:pos="1724"/>
              </w:tabs>
              <w:spacing w:after="0" w:line="240" w:lineRule="auto"/>
              <w:jc w:val="both"/>
              <w:rPr>
                <w:rFonts w:eastAsia="Calibri"/>
              </w:rPr>
            </w:pPr>
            <w:r>
              <w:rPr>
                <w:rFonts w:eastAsia="Calibri"/>
              </w:rPr>
              <w:t>Финансовая академия при Правительстве РФ, специальность «Финансы и кредит», год окончания – 1994.</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spacing w:after="0" w:line="240" w:lineRule="auto"/>
              <w:rPr>
                <w:rFonts w:eastAsia="Calibri"/>
                <w:b/>
                <w:sz w:val="24"/>
                <w:szCs w:val="24"/>
              </w:rPr>
            </w:pPr>
            <w:r>
              <w:rPr>
                <w:rFonts w:eastAsia="Calibri"/>
              </w:rPr>
              <w:t>С 2022 года – Главный эксперт управления операционного аудита  Департамента внутреннего аудита,  Публичное акционерное общество «Федеральная сетевая компания – Россети».</w:t>
            </w:r>
          </w:p>
        </w:tc>
      </w:tr>
      <w:tr w:rsidR="00A10DA8">
        <w:tc>
          <w:tcPr>
            <w:tcW w:w="3114" w:type="dxa"/>
          </w:tcPr>
          <w:p w:rsidR="00A10DA8" w:rsidRDefault="00CA7E8A">
            <w:pPr>
              <w:spacing w:after="0" w:line="240" w:lineRule="auto"/>
              <w:rPr>
                <w:rFonts w:eastAsia="Calibri"/>
                <w:b/>
                <w:sz w:val="24"/>
                <w:szCs w:val="24"/>
              </w:rPr>
            </w:pPr>
            <w:r>
              <w:rPr>
                <w:rFonts w:eastAsia="Calibri"/>
                <w:b/>
              </w:rPr>
              <w:t>Цыганова Наталья Александровна, Главный эксперт управления корпоративного аудита и контроля ДО Департамента внутреннего аудита ПАО «Россети»</w:t>
            </w:r>
          </w:p>
        </w:tc>
        <w:tc>
          <w:tcPr>
            <w:tcW w:w="2132" w:type="dxa"/>
          </w:tcPr>
          <w:p w:rsidR="00A10DA8" w:rsidRDefault="00CA7E8A">
            <w:pPr>
              <w:tabs>
                <w:tab w:val="left" w:pos="1724"/>
              </w:tabs>
              <w:spacing w:after="0" w:line="240" w:lineRule="auto"/>
              <w:jc w:val="both"/>
              <w:rPr>
                <w:rFonts w:eastAsia="Calibri"/>
              </w:rPr>
            </w:pPr>
            <w:r>
              <w:rPr>
                <w:rFonts w:eastAsia="Calibri"/>
              </w:rPr>
              <w:t>Дата рождения:1980</w:t>
            </w:r>
          </w:p>
          <w:p w:rsidR="00A10DA8" w:rsidRDefault="00CA7E8A">
            <w:pPr>
              <w:tabs>
                <w:tab w:val="left" w:pos="1724"/>
              </w:tabs>
              <w:spacing w:after="0" w:line="240" w:lineRule="auto"/>
              <w:jc w:val="both"/>
              <w:rPr>
                <w:rFonts w:eastAsia="Calibri"/>
              </w:rPr>
            </w:pPr>
            <w:r>
              <w:rPr>
                <w:rFonts w:eastAsia="Calibri"/>
              </w:rPr>
              <w:t>Гражданство: РФ</w:t>
            </w:r>
          </w:p>
          <w:p w:rsidR="00A10DA8" w:rsidRDefault="00CA7E8A">
            <w:pPr>
              <w:spacing w:after="0" w:line="240" w:lineRule="auto"/>
              <w:rPr>
                <w:rFonts w:eastAsia="Calibri"/>
                <w:b/>
                <w:sz w:val="24"/>
                <w:szCs w:val="24"/>
              </w:rPr>
            </w:pPr>
            <w:r>
              <w:rPr>
                <w:rFonts w:eastAsia="Calibri"/>
              </w:rPr>
              <w:t>Образование: высшее</w:t>
            </w:r>
          </w:p>
        </w:tc>
        <w:tc>
          <w:tcPr>
            <w:tcW w:w="4394" w:type="dxa"/>
          </w:tcPr>
          <w:p w:rsidR="00A10DA8" w:rsidRDefault="00CA7E8A">
            <w:pPr>
              <w:tabs>
                <w:tab w:val="left" w:pos="1724"/>
              </w:tabs>
              <w:spacing w:after="0" w:line="240" w:lineRule="auto"/>
              <w:jc w:val="both"/>
              <w:rPr>
                <w:rFonts w:eastAsia="Calibri"/>
              </w:rPr>
            </w:pPr>
            <w:r>
              <w:rPr>
                <w:rFonts w:eastAsia="Calibri"/>
              </w:rPr>
              <w:t xml:space="preserve">Образование: </w:t>
            </w:r>
          </w:p>
          <w:p w:rsidR="00A10DA8" w:rsidRDefault="00CA7E8A">
            <w:pPr>
              <w:tabs>
                <w:tab w:val="left" w:pos="1724"/>
              </w:tabs>
              <w:spacing w:after="0" w:line="240" w:lineRule="auto"/>
              <w:jc w:val="both"/>
              <w:rPr>
                <w:rFonts w:eastAsia="Calibri"/>
              </w:rPr>
            </w:pPr>
            <w:r>
              <w:rPr>
                <w:rFonts w:eastAsia="Calibri"/>
              </w:rPr>
              <w:t>Московская академия предпринимательства при Правительстве г. Москвы. Специальность «Юриспруденция», год окончания – 2003.</w:t>
            </w:r>
          </w:p>
          <w:p w:rsidR="00A10DA8" w:rsidRDefault="00CA7E8A">
            <w:pPr>
              <w:tabs>
                <w:tab w:val="left" w:pos="1724"/>
              </w:tabs>
              <w:spacing w:after="0" w:line="240" w:lineRule="auto"/>
              <w:jc w:val="both"/>
              <w:rPr>
                <w:rFonts w:eastAsia="Calibri"/>
              </w:rPr>
            </w:pPr>
            <w:r>
              <w:rPr>
                <w:rFonts w:eastAsia="Calibri"/>
              </w:rPr>
              <w:t>Опыт работы:</w:t>
            </w:r>
          </w:p>
          <w:p w:rsidR="00A10DA8" w:rsidRDefault="00CA7E8A">
            <w:pPr>
              <w:spacing w:after="0" w:line="240" w:lineRule="auto"/>
              <w:rPr>
                <w:rFonts w:eastAsia="Calibri"/>
                <w:b/>
                <w:sz w:val="24"/>
                <w:szCs w:val="24"/>
              </w:rPr>
            </w:pPr>
            <w:r>
              <w:rPr>
                <w:rFonts w:eastAsia="Calibri"/>
              </w:rPr>
              <w:t>2017-2024 гг. - Главный эксперт Департамента внутреннего аудита</w:t>
            </w:r>
            <w:r>
              <w:t xml:space="preserve"> </w:t>
            </w:r>
            <w:r>
              <w:rPr>
                <w:rFonts w:eastAsia="Calibri"/>
              </w:rPr>
              <w:t xml:space="preserve">и контроля ДО Департамента внутреннего аудита, Публичное акционерное общество «Федеральная сетевая компания – Россети» </w:t>
            </w:r>
            <w:r>
              <w:t>(до 12.10.2022 - ПАО «ФСК ЕЭС»)</w:t>
            </w:r>
            <w:r>
              <w:rPr>
                <w:rFonts w:eastAsia="Calibri"/>
              </w:rPr>
              <w:t>.</w:t>
            </w:r>
          </w:p>
        </w:tc>
      </w:tr>
    </w:tbl>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pStyle w:val="aff"/>
        <w:ind w:left="0" w:right="-143" w:firstLine="709"/>
        <w:contextualSpacing/>
        <w:jc w:val="both"/>
        <w:rPr>
          <w:rFonts w:ascii="Times New Roman" w:hAnsi="Times New Roman" w:cs="Times New Roman"/>
          <w:b/>
          <w:sz w:val="24"/>
          <w:szCs w:val="24"/>
        </w:rPr>
      </w:pPr>
      <w:r>
        <w:rPr>
          <w:rFonts w:ascii="Times New Roman" w:hAnsi="Times New Roman" w:cs="Times New Roman"/>
          <w:b/>
          <w:sz w:val="24"/>
          <w:szCs w:val="24"/>
        </w:rPr>
        <w:t>Вознаграждение членов Ревизионной комиссии (система вознаграждения, размер вознаграждения)</w:t>
      </w:r>
    </w:p>
    <w:p w:rsidR="00A10DA8" w:rsidRDefault="00A10DA8">
      <w:pPr>
        <w:spacing w:after="0" w:line="240" w:lineRule="auto"/>
        <w:ind w:firstLine="709"/>
        <w:jc w:val="both"/>
        <w:rPr>
          <w:rFonts w:ascii="Times New Roman" w:eastAsia="Calibri" w:hAnsi="Times New Roman" w:cs="Times New Roman"/>
          <w:sz w:val="24"/>
          <w:szCs w:val="24"/>
        </w:rPr>
      </w:pP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01.06.2018 годовым Общим собранием акционеров утверждена новая редакция Положения о выплате членам Ревизионной комиссии вознаграждений и компенсаций (протокол от 04.06.2018 № 18).</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Вознаграждение члену Ревизионной комиссии определяется от базовой части вознаграждения. Базовое вознаграждение члену Ревизионной комиссии устанавливается исходя из выручки Общества, рассчитанной по Российским стандартам бухгалтерской отчетности за финансовый год. Коэффициент личного участия отражает участие члена Ревизионной комиссии в заседаниях Ревизионной комиссии, а также исполнение им дополнительных обязанностей в качестве Председателя или Секретаря Ревизионной комиссии. Члену Ревизионной комиссии, не принявшему участие в более, чем половине заседаний, состоявшихся в период его членства в Ревизионной комиссии, вознаграждение не выплачивается. В случае если член Ревизионной комиссии в корпоративном году принимал активное участие в дополнительных проверках Ревизионной комиссии или контрольных мероприятий по отдельным вопросам, проведенных по решению Общего собрания акционеров, Совета директоров Общества или по требованию акционера (акционеров) Общества, владеющего в совокупности не менее чем 10 (десятью) процентами голосующих акций Общества, Председатель Ревизионной комиссии вправе ходатайствовать перед Общим собранием акционеров об увеличении фактического размера вознаграждения.</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произведены выплаты членам Ревизионной комиссии в размере 387 тыс. руб.</w:t>
      </w:r>
    </w:p>
    <w:p w:rsidR="00A10DA8" w:rsidRDefault="00A10DA8">
      <w:pPr>
        <w:tabs>
          <w:tab w:val="left" w:pos="993"/>
        </w:tabs>
        <w:spacing w:after="0" w:line="240" w:lineRule="auto"/>
        <w:ind w:right="-142"/>
        <w:contextualSpacing/>
        <w:jc w:val="both"/>
        <w:rPr>
          <w:rFonts w:ascii="Times New Roman" w:hAnsi="Times New Roman" w:cs="Times New Roman"/>
          <w:sz w:val="24"/>
          <w:szCs w:val="24"/>
        </w:rPr>
      </w:pPr>
    </w:p>
    <w:p w:rsidR="00A10DA8" w:rsidRDefault="00CA7E8A">
      <w:pPr>
        <w:pStyle w:val="1"/>
        <w:ind w:firstLine="709"/>
        <w:rPr>
          <w:rFonts w:eastAsia="Calibri"/>
          <w:bCs w:val="0"/>
          <w:lang w:eastAsia="en-US"/>
        </w:rPr>
      </w:pPr>
      <w:bookmarkStart w:id="51" w:name="_Toc473537030"/>
      <w:bookmarkStart w:id="52" w:name="_Toc195780441"/>
      <w:r>
        <w:rPr>
          <w:rFonts w:eastAsia="Calibri"/>
          <w:bCs w:val="0"/>
          <w:lang w:eastAsia="en-US"/>
        </w:rPr>
        <w:t>Внешний аудитор</w:t>
      </w:r>
      <w:bookmarkEnd w:id="51"/>
      <w:bookmarkEnd w:id="52"/>
    </w:p>
    <w:p w:rsidR="00A10DA8" w:rsidRDefault="00A10DA8">
      <w:pPr>
        <w:shd w:val="clear" w:color="auto" w:fill="FFFFFF" w:themeFill="background1"/>
        <w:spacing w:after="0" w:line="240" w:lineRule="auto"/>
        <w:ind w:firstLine="709"/>
        <w:jc w:val="both"/>
        <w:rPr>
          <w:rFonts w:ascii="Times New Roman" w:eastAsia="Calibri" w:hAnsi="Times New Roman" w:cs="Times New Roman"/>
          <w:sz w:val="24"/>
          <w:szCs w:val="24"/>
        </w:rPr>
      </w:pPr>
      <w:bookmarkStart w:id="53" w:name="_Toc473537032"/>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Полное фирменное наименование: Общество с ограниченной ответственностью «ЦЕНТР АУДИТОРСКИХ ТЕХНОЛОГИЙ И РЕШЕНИЙ - АУДИТОРСКИЕ УСЛУГИ»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Сокращенное фирменное наименование: ООО «ЦАТР-АУДИТОРСКИЕ УСЛУГИ»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ИНН: 7709383532 ОГРН: 1027739707203</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Место нахождения: 115035, г. Москва, Садовническая набережная, д. 77, стр. 1</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Адрес в сети Интернет: https://www.b1.ru/</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Адрес электронной почты: info@b1.ru</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Телефон приемной/факс: (495) 755-97-00/755-97-01</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ООО «ЦАТР-АУДИТОРСКИЕ УСЛУГИ» является членом саморегулируемой организации аудиторов Ассоциация «Содружество» (СРО ААС). Запись в Реестр аудиторов и аудиторских организаций внесена 31.01.2020 за ОРНЗ 12006020327.</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Оценка эффективности внешнего аудита не проводилась.</w:t>
      </w:r>
    </w:p>
    <w:p w:rsidR="00A10DA8" w:rsidRDefault="00A10DA8">
      <w:pPr>
        <w:shd w:val="clear" w:color="auto" w:fill="FFFFFF" w:themeFill="background1"/>
        <w:spacing w:after="0" w:line="240" w:lineRule="auto"/>
        <w:ind w:firstLine="709"/>
        <w:jc w:val="both"/>
        <w:rPr>
          <w:rFonts w:ascii="Times New Roman" w:eastAsia="Calibri" w:hAnsi="Times New Roman" w:cs="Times New Roman"/>
          <w:b/>
          <w:sz w:val="24"/>
          <w:szCs w:val="24"/>
        </w:rPr>
      </w:pPr>
    </w:p>
    <w:p w:rsidR="00A10DA8" w:rsidRDefault="00CA7E8A">
      <w:pPr>
        <w:shd w:val="clear" w:color="auto" w:fill="FFFFFF" w:themeFill="background1"/>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Процедура выбора аудитора</w:t>
      </w:r>
    </w:p>
    <w:p w:rsidR="00A10DA8" w:rsidRDefault="00A10DA8">
      <w:pPr>
        <w:shd w:val="clear" w:color="auto" w:fill="FFFFFF" w:themeFill="background1"/>
        <w:spacing w:after="0" w:line="240" w:lineRule="auto"/>
        <w:ind w:firstLine="709"/>
        <w:jc w:val="both"/>
        <w:rPr>
          <w:rFonts w:ascii="Times New Roman" w:eastAsia="Calibri" w:hAnsi="Times New Roman" w:cs="Times New Roman"/>
          <w:b/>
          <w:sz w:val="24"/>
          <w:szCs w:val="24"/>
        </w:rPr>
      </w:pP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протоколом заочного заседания конкурсной комиссии по подведению итогов конкурса в электронной форме на оказание услуг по проведению обязательного ежегодного аудита отчетности РСБУ от 14.03.2024 № 4/2977634 победителем определен ООО «ЦАТР – аудиторские услуги».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Для участия в конкурсе аудиторские организации должны удовлетворять следующим требованиям:</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обладать гражданской правоспособностью в полном объеме для заключения и исполнения Договора;</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не находиться в процессе ликвидации;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не быть включенным в Реестр недобросовестных поставщиков;</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у участника должна отсутствовать недоимки по налогам, сборам, задолженности по иным обязательным платежам в бюджеты бюджетной системы Российской Федерации за прошедший календарный год, размер которых превышает двадцать пять процентов </w:t>
      </w:r>
      <w:r>
        <w:rPr>
          <w:rFonts w:ascii="Times New Roman" w:eastAsia="Calibri" w:hAnsi="Times New Roman" w:cs="Times New Roman"/>
          <w:sz w:val="24"/>
          <w:szCs w:val="24"/>
        </w:rPr>
        <w:lastRenderedPageBreak/>
        <w:t>балансовой стоимости активов участника закупки, по данным бухгалтерской отчетности за последний отчетный период;</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 участник должен быть членом саморегулируемой организации аудиторов;</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профессиональная ответственность участника должна быть застрахована.</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Совет директоров предлагает кандидатуру аудитора для рассмотрения и утверждения на Общем собрании акционеров.</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ООО «ЦАТР – аудиторские услуги» утверждено аудитором АО «Чеченэнерго» решением годового Общего собрания акционеров АО «Чеченэнерго» 29.05.2024 (протокол от 29.05.2024 № 28).</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Размер оплаты услуг аудитора утвержден Советом директоров АО «Чеченэнерго» 17.06.2024 (протокол от 17.06.2024 № 336) в размере 270 312,83 руб. с учетом НДС 20 %.</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аудиторами не оказывались Обществу другие (неаудиторские) услуги.</w:t>
      </w:r>
    </w:p>
    <w:p w:rsidR="00A10DA8" w:rsidRDefault="00CA7E8A">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Оценка эффективности внешнего аудита не проводилась.</w:t>
      </w:r>
    </w:p>
    <w:p w:rsidR="00A10DA8" w:rsidRDefault="00A10DA8">
      <w:pPr>
        <w:shd w:val="clear" w:color="auto" w:fill="FFFFFF" w:themeFill="background1"/>
        <w:spacing w:after="0" w:line="240" w:lineRule="auto"/>
        <w:ind w:firstLine="709"/>
        <w:jc w:val="both"/>
        <w:rPr>
          <w:rFonts w:ascii="Times New Roman" w:eastAsia="Calibri" w:hAnsi="Times New Roman" w:cs="Times New Roman"/>
          <w:sz w:val="24"/>
          <w:szCs w:val="24"/>
        </w:rPr>
      </w:pPr>
    </w:p>
    <w:p w:rsidR="00A10DA8" w:rsidRDefault="00CA7E8A">
      <w:pPr>
        <w:pStyle w:val="1"/>
        <w:ind w:firstLine="709"/>
      </w:pPr>
      <w:bookmarkStart w:id="54" w:name="_Toc100218041"/>
      <w:bookmarkStart w:id="55" w:name="_Toc195780442"/>
      <w:bookmarkStart w:id="56" w:name="_Toc473537034"/>
      <w:bookmarkEnd w:id="53"/>
      <w:r>
        <w:t>Акционерный капитал, обращение ценных бумаг</w:t>
      </w:r>
      <w:bookmarkEnd w:id="54"/>
      <w:bookmarkEnd w:id="55"/>
    </w:p>
    <w:p w:rsidR="00A10DA8" w:rsidRDefault="00A10DA8">
      <w:pPr>
        <w:keepNext/>
        <w:spacing w:after="0" w:line="240" w:lineRule="auto"/>
        <w:ind w:firstLine="709"/>
        <w:jc w:val="both"/>
        <w:outlineLvl w:val="0"/>
        <w:rPr>
          <w:rFonts w:ascii="Times New Roman" w:eastAsia="Calibri" w:hAnsi="Times New Roman" w:cs="Times New Roman"/>
          <w:b/>
          <w:sz w:val="24"/>
          <w:szCs w:val="24"/>
        </w:rPr>
      </w:pPr>
      <w:bookmarkStart w:id="57" w:name="_Toc503284548"/>
      <w:bookmarkStart w:id="58" w:name="_Toc37771220"/>
      <w:bookmarkStart w:id="59" w:name="_Toc67663076"/>
      <w:bookmarkStart w:id="60" w:name="_Toc100218042"/>
      <w:bookmarkEnd w:id="57"/>
      <w:bookmarkEnd w:id="58"/>
      <w:bookmarkEnd w:id="59"/>
      <w:bookmarkEnd w:id="60"/>
    </w:p>
    <w:p w:rsidR="00A10DA8" w:rsidRDefault="00CA7E8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Структура акционерного капитала Общества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1843"/>
        <w:gridCol w:w="1842"/>
        <w:gridCol w:w="1843"/>
      </w:tblGrid>
      <w:tr w:rsidR="00A10DA8">
        <w:trPr>
          <w:cantSplit/>
          <w:jc w:val="center"/>
        </w:trPr>
        <w:tc>
          <w:tcPr>
            <w:tcW w:w="4248" w:type="dxa"/>
            <w:vMerge w:val="restart"/>
            <w:vAlign w:val="center"/>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rPr>
              <w:t>Наименование владельца ценных бумаг</w:t>
            </w:r>
          </w:p>
        </w:tc>
        <w:tc>
          <w:tcPr>
            <w:tcW w:w="1843" w:type="dxa"/>
            <w:vAlign w:val="center"/>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rPr>
              <w:t>Доля в уставном капитале по состоянию на:</w:t>
            </w:r>
          </w:p>
        </w:tc>
        <w:tc>
          <w:tcPr>
            <w:tcW w:w="1842" w:type="dxa"/>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rPr>
              <w:t>Доля в уставном капитале по состоянию на:</w:t>
            </w:r>
          </w:p>
        </w:tc>
        <w:tc>
          <w:tcPr>
            <w:tcW w:w="1843" w:type="dxa"/>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rPr>
              <w:t>Доля в уставном капитале по состоянию на:</w:t>
            </w:r>
          </w:p>
        </w:tc>
      </w:tr>
      <w:tr w:rsidR="00A10DA8">
        <w:trPr>
          <w:cantSplit/>
          <w:trHeight w:val="399"/>
          <w:jc w:val="center"/>
        </w:trPr>
        <w:tc>
          <w:tcPr>
            <w:tcW w:w="4248" w:type="dxa"/>
            <w:vMerge/>
            <w:vAlign w:val="center"/>
          </w:tcPr>
          <w:p w:rsidR="00A10DA8" w:rsidRDefault="00A10DA8">
            <w:pPr>
              <w:spacing w:after="0" w:line="240" w:lineRule="auto"/>
              <w:rPr>
                <w:rFonts w:ascii="Times New Roman" w:eastAsia="Calibri" w:hAnsi="Times New Roman" w:cs="Times New Roman"/>
                <w:sz w:val="20"/>
                <w:szCs w:val="20"/>
              </w:rPr>
            </w:pPr>
          </w:p>
        </w:tc>
        <w:tc>
          <w:tcPr>
            <w:tcW w:w="1843" w:type="dxa"/>
            <w:vAlign w:val="center"/>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lang w:val="en-US"/>
              </w:rPr>
              <w:t>31</w:t>
            </w:r>
            <w:r>
              <w:rPr>
                <w:rFonts w:ascii="Times New Roman" w:eastAsia="Calibri" w:hAnsi="Times New Roman" w:cs="Times New Roman"/>
                <w:b/>
                <w:sz w:val="20"/>
                <w:szCs w:val="20"/>
              </w:rPr>
              <w:t>.12.2022*</w:t>
            </w:r>
          </w:p>
        </w:tc>
        <w:tc>
          <w:tcPr>
            <w:tcW w:w="1842" w:type="dxa"/>
            <w:vAlign w:val="center"/>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lang w:val="en-US"/>
              </w:rPr>
              <w:t>31</w:t>
            </w:r>
            <w:r>
              <w:rPr>
                <w:rFonts w:ascii="Times New Roman" w:eastAsia="Calibri" w:hAnsi="Times New Roman" w:cs="Times New Roman"/>
                <w:b/>
                <w:sz w:val="20"/>
                <w:szCs w:val="20"/>
              </w:rPr>
              <w:t>.12.2023**</w:t>
            </w:r>
          </w:p>
        </w:tc>
        <w:tc>
          <w:tcPr>
            <w:tcW w:w="1843" w:type="dxa"/>
            <w:vAlign w:val="center"/>
          </w:tcPr>
          <w:p w:rsidR="00A10DA8" w:rsidRDefault="00CA7E8A">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lang w:val="en-US"/>
              </w:rPr>
              <w:t>31</w:t>
            </w:r>
            <w:r>
              <w:rPr>
                <w:rFonts w:ascii="Times New Roman" w:eastAsia="Calibri" w:hAnsi="Times New Roman" w:cs="Times New Roman"/>
                <w:b/>
                <w:sz w:val="20"/>
                <w:szCs w:val="20"/>
              </w:rPr>
              <w:t>.12.2024**</w:t>
            </w:r>
          </w:p>
        </w:tc>
      </w:tr>
      <w:tr w:rsidR="00A10DA8">
        <w:trPr>
          <w:cantSplit/>
          <w:trHeight w:val="283"/>
          <w:jc w:val="center"/>
        </w:trPr>
        <w:tc>
          <w:tcPr>
            <w:tcW w:w="4248" w:type="dxa"/>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Юридические лица – владельцы, в том числе:</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100 %</w:t>
            </w:r>
          </w:p>
        </w:tc>
        <w:tc>
          <w:tcPr>
            <w:tcW w:w="1842"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100 %</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100 %</w:t>
            </w:r>
          </w:p>
        </w:tc>
      </w:tr>
      <w:tr w:rsidR="00A10DA8">
        <w:trPr>
          <w:cantSplit/>
          <w:trHeight w:val="283"/>
          <w:jc w:val="center"/>
        </w:trPr>
        <w:tc>
          <w:tcPr>
            <w:tcW w:w="4248" w:type="dxa"/>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ПАО «Россети» </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lang w:val="en-US"/>
              </w:rPr>
              <w:t>88</w:t>
            </w:r>
            <w:r>
              <w:rPr>
                <w:rFonts w:ascii="Times New Roman" w:eastAsia="Calibri" w:hAnsi="Times New Roman" w:cs="Times New Roman"/>
                <w:sz w:val="20"/>
                <w:szCs w:val="20"/>
              </w:rPr>
              <w:t>,55 %</w:t>
            </w:r>
          </w:p>
        </w:tc>
        <w:tc>
          <w:tcPr>
            <w:tcW w:w="1842"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90,45 %</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91,33 %</w:t>
            </w:r>
          </w:p>
        </w:tc>
      </w:tr>
      <w:tr w:rsidR="00A10DA8">
        <w:trPr>
          <w:cantSplit/>
          <w:trHeight w:val="283"/>
          <w:jc w:val="center"/>
        </w:trPr>
        <w:tc>
          <w:tcPr>
            <w:tcW w:w="4248" w:type="dxa"/>
            <w:vAlign w:val="center"/>
          </w:tcPr>
          <w:p w:rsidR="00A10DA8" w:rsidRDefault="00CA7E8A">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Чеченская Республика в лице Министерства имущественных и земельных отношений Чеченской Республики</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11,45 %</w:t>
            </w:r>
          </w:p>
        </w:tc>
        <w:tc>
          <w:tcPr>
            <w:tcW w:w="1842"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9,55 %</w:t>
            </w:r>
          </w:p>
        </w:tc>
        <w:tc>
          <w:tcPr>
            <w:tcW w:w="1843" w:type="dxa"/>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8,67 %</w:t>
            </w:r>
          </w:p>
        </w:tc>
      </w:tr>
    </w:tbl>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данные указаны с учетом фактически размещенных акций дополнительного выпуска, зарегистрированного Банком России 20.07.2020 (регистрационный номер 1-01-35075-E-003D от 20.07.2020). Банком России 03.08.2023 осуществлена государственная регистрация отчета об итогах дополнительного выпуска.</w:t>
      </w:r>
    </w:p>
    <w:p w:rsidR="00A10DA8" w:rsidRDefault="00CA7E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данные указаны с учетом фактически размещенных акций дополнительного выпуска, зарегистрированного Банком России 14.09.2023 (регистрационный номер 1-01-35075-E-004D от 14.09.2023).</w:t>
      </w:r>
    </w:p>
    <w:p w:rsidR="00A10DA8" w:rsidRDefault="00A10DA8">
      <w:pPr>
        <w:tabs>
          <w:tab w:val="left" w:pos="993"/>
        </w:tabs>
        <w:spacing w:after="0" w:line="240" w:lineRule="auto"/>
        <w:ind w:right="-142"/>
        <w:contextualSpacing/>
        <w:rPr>
          <w:rFonts w:ascii="Times New Roman" w:hAnsi="Times New Roman" w:cs="Times New Roman"/>
          <w:sz w:val="24"/>
          <w:szCs w:val="24"/>
        </w:rPr>
      </w:pPr>
    </w:p>
    <w:p w:rsidR="00A10DA8" w:rsidRDefault="00CA7E8A">
      <w:pPr>
        <w:pStyle w:val="aff"/>
        <w:tabs>
          <w:tab w:val="left" w:pos="993"/>
        </w:tabs>
        <w:ind w:left="709" w:right="-143"/>
        <w:contextualSpacing/>
        <w:rPr>
          <w:rFonts w:ascii="Times New Roman" w:hAnsi="Times New Roman" w:cs="Times New Roman"/>
          <w:b/>
          <w:sz w:val="24"/>
          <w:szCs w:val="24"/>
        </w:rPr>
      </w:pPr>
      <w:r>
        <w:rPr>
          <w:rFonts w:ascii="Times New Roman" w:hAnsi="Times New Roman" w:cs="Times New Roman"/>
          <w:b/>
          <w:sz w:val="24"/>
          <w:szCs w:val="24"/>
        </w:rPr>
        <w:t>Основные характеристики ценных бумаг Общества</w:t>
      </w:r>
    </w:p>
    <w:p w:rsidR="00A10DA8" w:rsidRDefault="00A10DA8">
      <w:pPr>
        <w:pStyle w:val="aff"/>
        <w:tabs>
          <w:tab w:val="left" w:pos="993"/>
        </w:tabs>
        <w:ind w:left="709" w:right="-143"/>
        <w:contextualSpacing/>
        <w:rPr>
          <w:rFonts w:ascii="Times New Roman" w:hAnsi="Times New Roman" w:cs="Times New Roman"/>
          <w:b/>
          <w:sz w:val="24"/>
          <w:szCs w:val="24"/>
        </w:rPr>
      </w:pP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Уставом Общества уставный капитал Общества равен 26 192 749 799 руб. Обществом размещено 26 192 749 799 обыкновенных акций номинальной стоимостью 1 руб. каждая. Привилегированные акции Обществом не размещались.</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Количество объявленных обыкновенных бездокументарных акций составляет 12 394 172 997 штук номинальной стоимостью 1 руб. каждая.</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Первое размещение акций Общества осуществлено на дату государственной регистрации Общества 08.05.2008 в качестве юридического лица путем распределения акций среди учредителей: ОАО РАО «ЕЭС России» и ОАО «Чеченская топливно-энергетическая компания» (далее – ОАО «ЧеченТЭК»).</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Выпуск обыкновенных именных бездокументарных акций Общества зарегистрирован Региональным отделением Федеральной службы по финансовым рынкам в Южном федеральном округе (РО ФСФР России в ЮФО) 29.10.2008 (государственный регистрационный номер 1-01-35075-Е).</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соответствии с Распоряжением Правительства Чеченской Республики от 03.04.2009 № 135-р Чеченская Республика в лице Министерства имущественных и </w:t>
      </w:r>
      <w:r>
        <w:rPr>
          <w:rFonts w:ascii="Times New Roman" w:eastAsia="Calibri" w:hAnsi="Times New Roman" w:cs="Times New Roman"/>
          <w:sz w:val="24"/>
          <w:szCs w:val="24"/>
        </w:rPr>
        <w:lastRenderedPageBreak/>
        <w:t>земельных отношений приняла в собственность от ОАО «ЧеченТЭК» обыкновенные акции Общества выпуска от 29.10.2008 № 1-01-35075-Е в количестве 49 000 штук, составляющих 49 % уставного капитала Общества.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Внеочередным Общим собранием акционеров Общества (протокол от 05.06.2013 № 8) принято решение об увеличении уставного капитала Общества путем размещения дополнительных обыкновенных именных бездокументарных акций в количестве 8 383 427 634 штуки номинальной стоимостью 1 руб. каждая. </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b/>
        <w:t>Дополнительный выпуск акций Общества в количестве 8 383 427 634 штуки зарегистрирован ФСФР России 18.07.2013 (государственный регистрационный номер 1-01-35075-E-001D).</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b/>
        <w:t>Акции размещались на следующих условиях:</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b/>
        <w:t>- способ размещения: закрытая подписка, круг лиц – ПАО «Россети» и Чеченская Республика;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b/>
        <w:t>- цена размещения: 1 руб. (решение Совета директоров АО «Чеченэнерго» от 29.05.2013, протокол № 33);</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b/>
        <w:t>- форма оплаты: денежные средства в рублях Российской Федерации и имущество распределительного электросетевого хозяйства, участвующее в энергоснабжении абонентов Чеченской Республики.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Эмиссия акций проводилась с целью консолидации электросетевого имущества на базе АО «Чеченэнерго».</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Отчет об итогах дополнительного выпуска ценных бумаг зарегистрирован Банком России 28.10.2014. Количество фактически размещенных ценных бумаг – 5 884 091 665 штук.</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Внеочередным Общим собранием акционеров Общества (протокол от 07.09.2016 № 15) принято решение об увеличении уставного капитала Общества путем размещения дополнительных обыкновенных именных бездокументарных акций в количестве 5 068 551 655 штук номинальной стоимостью 1 руб. каждая. Дополнительный выпуск акций Общества в количестве 5 068 551 655 штук зарегистрирован Банком России 12.01.2017 (государственный регистрационный номер № 1-01-35075-E-002D).</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Акции размещались на следующих условиях:</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способ размещения: закрытая подписка, круг лиц - ПАО «Россети» и Чеченская Республика;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цена размещения: 1 руб. (решение Совета директоров АО «Чеченэнерго» от 21.12.2016, протокол № 117);</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форма оплаты: денежные средства в рублях Российской Федерации и электросетевое имущество, расположенное на территории Чеченской Республики.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Эмиссия проводилась с целью привлечения денежных средств для финансирования мероприятий Плана развития группы «Россети Северный Кавказ» и консолидации электросетевого имущества.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Банком России 07.12.2017, 06.08.2018 и 19.11.2018 зарегистрированы Изменения в Решение о дополнительном выпуске ценных бумаг Общества (государственный регистрационный номер дополнительного выпуска 1-01-35075-E-002D), связанные с продлением срока размещения акций.</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Банком России 19.03.2020 зарегистрирован Отчет об итогах дополнительного выпуска ценных бумаг Общества (государственный регистрационный номер № 1-01-35075-E-002D). Общее количество размещенных дополнительных обыкновенных акций составило 4 719 746 794 штук.</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Внеочередным Общим собранием акционеров Общества (протокол от 30.04.2020 № 20) принято решение об увеличении уставного капитала Общества путем размещения дополнительных обыкновенных именных бездокументарных акций в количестве 4 270 435 579 штук номинальной стоимостью 1 руб. каждая. </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Дополнительный выпуск акций Общества в количестве 4 270 435 579 штук </w:t>
      </w:r>
      <w:r>
        <w:rPr>
          <w:rFonts w:ascii="Times New Roman" w:eastAsia="Calibri" w:hAnsi="Times New Roman" w:cs="Times New Roman"/>
          <w:sz w:val="24"/>
          <w:szCs w:val="24"/>
        </w:rPr>
        <w:lastRenderedPageBreak/>
        <w:t>зарегистрирован Банком России 20.07.2020 (регистрационный номер № 1-01-35075-E-003D).</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Акции размещались на следующих условиях:</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способ размещения: закрытая подписка, круг лиц - ПАО «Россети»;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цена размещения: 1 руб. (решение Совета директоров АО «Чеченэнерго» от 27.07.2020, протокол № 214);</w:t>
      </w:r>
    </w:p>
    <w:p w:rsidR="00A10DA8" w:rsidRDefault="00CA7E8A">
      <w:pPr>
        <w:spacing w:after="0" w:line="240" w:lineRule="auto"/>
        <w:ind w:right="-142"/>
        <w:contextualSpacing/>
        <w:rPr>
          <w:rFonts w:ascii="Times New Roman" w:eastAsia="Calibri" w:hAnsi="Times New Roman" w:cs="Times New Roman"/>
          <w:sz w:val="24"/>
          <w:szCs w:val="24"/>
        </w:rPr>
      </w:pPr>
      <w:r>
        <w:rPr>
          <w:rFonts w:ascii="Times New Roman" w:eastAsia="Calibri" w:hAnsi="Times New Roman" w:cs="Times New Roman"/>
          <w:sz w:val="24"/>
          <w:szCs w:val="24"/>
        </w:rPr>
        <w:tab/>
        <w:t>- форма оплаты: денежные средства в рублях Российской Федерации.</w:t>
      </w:r>
    </w:p>
    <w:p w:rsidR="00A10DA8" w:rsidRDefault="00CA7E8A">
      <w:pPr>
        <w:spacing w:after="0" w:line="240" w:lineRule="auto"/>
        <w:ind w:right="-142"/>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t>Внеочередным Общим собранием акционеров Общества (протокол от 20.08.2021 № 24) принято решение внести изменения в решение внеочередного Общего собрания акционеров АО «Чеченэнерго» от 30.04.2020 (протокол от 30.04.2020 № 20) по вопросу № 3 «Об увеличении уставного капитала АО «Чеченэнерго» путем размещения дополнительных акций» увеличив количество размещаемых дополнительных акций до 17 966 772 579 штук.</w:t>
      </w:r>
    </w:p>
    <w:p w:rsidR="00A10DA8" w:rsidRDefault="00CA7E8A">
      <w:pPr>
        <w:spacing w:after="0" w:line="240" w:lineRule="auto"/>
        <w:ind w:right="-142" w:firstLine="708"/>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Годовым Общим собранием акционеров Общества (протокол от 22.06.2022 № 25) принято решение внести изменения в решение внеочередного Общего собрания акционеров АО «Чеченэнерго» от 30.04.2020 (протокол от 30.04.2020 № 20) по вопросу № 3 «Об увеличении уставного капитала АО «Чеченэнерго» путем размещения дополнительных акций» увеличив количество размещаемых дополнительных акций до 20 866 772 579 штук.</w:t>
      </w:r>
    </w:p>
    <w:p w:rsidR="00A10DA8" w:rsidRDefault="00CA7E8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Внеочередным Общим собранием акционеров Общества (протокол от 27.09.2022 № 26) принято решение внести изменения в решение внеочередного Общего собрания акционеров АО «Чеченэнерго» от 30.04.2020 (протокол от 30.04.2020 № 20) по вопросу №</w:t>
      </w:r>
      <w:r>
        <w:rPr>
          <w:rFonts w:ascii="Times New Roman" w:eastAsia="Calibri" w:hAnsi="Times New Roman" w:cs="Times New Roman"/>
          <w:sz w:val="24"/>
          <w:szCs w:val="24"/>
          <w:lang w:val="en-US"/>
        </w:rPr>
        <w:t> </w:t>
      </w:r>
      <w:r>
        <w:rPr>
          <w:rFonts w:ascii="Times New Roman" w:eastAsia="Calibri" w:hAnsi="Times New Roman" w:cs="Times New Roman"/>
          <w:sz w:val="24"/>
          <w:szCs w:val="24"/>
        </w:rPr>
        <w:t>3 «Об увеличении уставного капитала АО «Чеченэнерго» путем размещения дополнительных акций» увеличив количество размещаемых дополнительных акций до 22</w:t>
      </w:r>
      <w:r>
        <w:rPr>
          <w:rFonts w:ascii="Times New Roman" w:eastAsia="Calibri" w:hAnsi="Times New Roman" w:cs="Times New Roman"/>
          <w:sz w:val="24"/>
          <w:szCs w:val="24"/>
          <w:lang w:val="en-US"/>
        </w:rPr>
        <w:t> </w:t>
      </w:r>
      <w:r>
        <w:rPr>
          <w:rFonts w:ascii="Times New Roman" w:eastAsia="Calibri" w:hAnsi="Times New Roman" w:cs="Times New Roman"/>
          <w:sz w:val="24"/>
          <w:szCs w:val="24"/>
        </w:rPr>
        <w:t>687</w:t>
      </w:r>
      <w:r>
        <w:rPr>
          <w:rFonts w:ascii="Times New Roman" w:eastAsia="Calibri" w:hAnsi="Times New Roman" w:cs="Times New Roman"/>
          <w:sz w:val="24"/>
          <w:szCs w:val="24"/>
          <w:lang w:val="en-US"/>
        </w:rPr>
        <w:t> </w:t>
      </w:r>
      <w:r>
        <w:rPr>
          <w:rFonts w:ascii="Times New Roman" w:eastAsia="Calibri" w:hAnsi="Times New Roman" w:cs="Times New Roman"/>
          <w:sz w:val="24"/>
          <w:szCs w:val="24"/>
        </w:rPr>
        <w:t>477</w:t>
      </w:r>
      <w:r>
        <w:rPr>
          <w:rFonts w:ascii="Times New Roman" w:eastAsia="Calibri" w:hAnsi="Times New Roman" w:cs="Times New Roman"/>
          <w:sz w:val="24"/>
          <w:szCs w:val="24"/>
          <w:lang w:val="en-US"/>
        </w:rPr>
        <w:t> </w:t>
      </w:r>
      <w:r>
        <w:rPr>
          <w:rFonts w:ascii="Times New Roman" w:eastAsia="Calibri" w:hAnsi="Times New Roman" w:cs="Times New Roman"/>
          <w:sz w:val="24"/>
          <w:szCs w:val="24"/>
        </w:rPr>
        <w:t>579 штук.</w:t>
      </w:r>
    </w:p>
    <w:p w:rsidR="00A10DA8" w:rsidRDefault="00CA7E8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Эмиссия проводилась с целью привлечения денежных средств для финансирования мероприятий Плана развития Общества.</w:t>
      </w:r>
    </w:p>
    <w:p w:rsidR="00A10DA8" w:rsidRDefault="00CA7E8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Банком России 03.08.2023 зарегистрирован Отчет об итогах дополнительного выпуска ценных бумаг Общества (регистрационный номер № 1-01-35075-E-003D). Общее количество размещенных дополнительных обыкновенных акций составило 15 588 811 340 штук.</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Годовым Общим собранием акционеров Общества (протокол от 07.06.2023 № 27) принято решение об увеличении уставного капитала Общества путем размещения дополнительных обыкновенных акций в количестве 10 705 462 997 штук номинальной стоимостью 1 руб. каждая. </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Банком России 14.09.2023 осуществлена государственная регистрация дополнительного выпуска обыкновенных акций АО «Чеченэнерго», размещаемых путем закрытой подписки (регистрационный номер № 1-01-35075-E-004D). Количество ценных бумаг дополнительного выпуска составляет 10 705 462 997 штук.</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Акции размещаются на следующих условиях:</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способ размещения: закрытая подписка, круг лиц – ПАО «Россети»;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цена размещения: 1 руб. (решение Совета директоров АО «Чеченэнерго» от 28.08.2023, протокол от 28.08.2023 № 309);</w:t>
      </w:r>
    </w:p>
    <w:p w:rsidR="00A10DA8" w:rsidRDefault="00CA7E8A">
      <w:pPr>
        <w:spacing w:after="0" w:line="240" w:lineRule="auto"/>
        <w:ind w:right="-142"/>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t>- форма оплаты: денежными средствами в рублях Российской Федерации в безналичной форме.</w:t>
      </w:r>
    </w:p>
    <w:p w:rsidR="00A10DA8" w:rsidRDefault="00CA7E8A">
      <w:pPr>
        <w:spacing w:after="0" w:line="240" w:lineRule="auto"/>
        <w:ind w:right="-142"/>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t>В соответствии с решениями Совета директоров АО «Чеченэнерго» (протокол от 24.08.2024 № 341) и Банка России от 17.09.2024 срок размещения обыкновенных акций АО «Чеченэнерго» дополнительного выпуска с регистрационным номером № 1-01-35075-E-004D продлен до 14.09.2025.</w:t>
      </w:r>
    </w:p>
    <w:p w:rsidR="00A10DA8" w:rsidRDefault="00CA7E8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решениями внеочередного Общего собрания акционеров Общества (протокол от 29.10.2024 № 29), Совета директоров Общества (протокол от 08.11.2024 № 347) и Банка России от 28.11.2024 количество обыкновенных акций дополнительного выпуска с регистрационным номером № 1-01-35075-E-004D увеличено до 12 394 172 997 штук.</w:t>
      </w:r>
    </w:p>
    <w:p w:rsidR="00A10DA8" w:rsidRDefault="00CA7E8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Эмиссия проводится с целью привлечения денежных средств для финансирования мероприятий Плана развития Общества.</w:t>
      </w:r>
    </w:p>
    <w:p w:rsidR="00A10DA8" w:rsidRDefault="00CA7E8A">
      <w:pPr>
        <w:spacing w:after="0" w:line="240" w:lineRule="auto"/>
        <w:ind w:firstLine="708"/>
        <w:jc w:val="both"/>
        <w:rPr>
          <w:rFonts w:ascii="Times New Roman" w:eastAsia="Calibri" w:hAnsi="Times New Roman" w:cs="Times New Roman"/>
          <w:iCs/>
          <w:sz w:val="24"/>
          <w:szCs w:val="24"/>
        </w:rPr>
      </w:pPr>
      <w:r>
        <w:rPr>
          <w:rFonts w:ascii="Times New Roman" w:eastAsia="Calibri" w:hAnsi="Times New Roman" w:cs="Times New Roman"/>
          <w:sz w:val="24"/>
          <w:szCs w:val="24"/>
        </w:rPr>
        <w:t xml:space="preserve">Акции Общества на фондовом рынке не обращаются. Вывод акций Общества на фондовый рынок в ближайшее время не планируется. </w:t>
      </w:r>
      <w:r>
        <w:rPr>
          <w:rFonts w:ascii="Times New Roman" w:eastAsia="Calibri" w:hAnsi="Times New Roman" w:cs="Times New Roman"/>
          <w:iCs/>
          <w:sz w:val="24"/>
          <w:szCs w:val="24"/>
        </w:rPr>
        <w:t>В 2024 году Общество собственные акции не приобретало.</w:t>
      </w:r>
    </w:p>
    <w:p w:rsidR="00A10DA8" w:rsidRDefault="00CA7E8A">
      <w:pPr>
        <w:spacing w:after="0" w:line="240" w:lineRule="auto"/>
        <w:ind w:firstLine="708"/>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Каждая обыкновенная акция Общества предоставляет акционеру – ее владельцу одинаковый объем прав.</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Акционеры-владельцы обыкновенных акций Общества имеют право:</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участвовать лично или через представителей в Общем собрании акционеров Общества с правом голоса по всем вопросам его компетенции;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вносить предложения в повестку дня общего собрания в порядке, предусмотренном законодательством Российской Федерации и Уставом;</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получать информацию о деятельности Общества и знакомиться с документами Общества в соответствии со ст. 91 Федерального закона «Об акционерных обществах», иными нормативными правовыми актами и Уставом; </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получать дивиденды, объявленные Обществом;</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преимущественного приобретения размещаемых посредством закрытой подписки дополнительных акций и эмиссионных ценных бумаг, конвертируемых в акции, в количестве, пропорциональном количеству принадлежащих им обыкновенных акций, в случаях, предусмотренных законодательством Российской Федерации;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в случае ликвидации Общества получать часть его имущества;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обжаловать решения органов управления Общества, влекущие гражданско-правовые последствия, в случаях и в порядке, которые предусмотрены законодательством Российской Федерации;</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требовать возмещения причиненных Обществу убытков;</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оспаривать совершенные Обществом сделки по основаниям, предусмотренным законодательством Российской Федерации, и требовать применения последствий их недействительности, а также применения последствий недействительности ничтожных сделок Общества;</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заключать между собой, а также с кредиторами Общества и иными третьими лицами договор об осуществлении корпоративных прав (корпоративный договор);</w:t>
      </w:r>
    </w:p>
    <w:p w:rsidR="00A10DA8" w:rsidRDefault="00CA7E8A">
      <w:pPr>
        <w:widowControl w:val="0"/>
        <w:shd w:val="clear" w:color="auto" w:fill="FFFFFF"/>
        <w:tabs>
          <w:tab w:val="left" w:pos="914"/>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осуществлять иные права, предусмотренные законодательством Российской Федерации и Уставом.</w:t>
      </w:r>
    </w:p>
    <w:p w:rsidR="00A10DA8" w:rsidRDefault="00A10DA8">
      <w:pPr>
        <w:tabs>
          <w:tab w:val="left" w:pos="993"/>
        </w:tabs>
        <w:spacing w:after="0" w:line="240" w:lineRule="auto"/>
        <w:ind w:right="-142"/>
        <w:contextualSpacing/>
        <w:rPr>
          <w:rFonts w:ascii="Times New Roman" w:hAnsi="Times New Roman" w:cs="Times New Roman"/>
          <w:sz w:val="24"/>
          <w:szCs w:val="24"/>
        </w:rPr>
      </w:pPr>
    </w:p>
    <w:p w:rsidR="00A10DA8" w:rsidRDefault="00CA7E8A">
      <w:pPr>
        <w:spacing w:after="0" w:line="240" w:lineRule="auto"/>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Распределение прибыли за 2021-2023 гг., тыс.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03"/>
        <w:gridCol w:w="1532"/>
        <w:gridCol w:w="1579"/>
        <w:gridCol w:w="1630"/>
      </w:tblGrid>
      <w:tr w:rsidR="00A10DA8">
        <w:trPr>
          <w:trHeight w:val="340"/>
          <w:tblHeader/>
          <w:jc w:val="center"/>
        </w:trPr>
        <w:tc>
          <w:tcPr>
            <w:tcW w:w="2463"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Наименование</w:t>
            </w:r>
          </w:p>
        </w:tc>
        <w:tc>
          <w:tcPr>
            <w:tcW w:w="820"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За 2021 г. </w:t>
            </w:r>
            <w:r>
              <w:rPr>
                <w:rFonts w:ascii="Times New Roman" w:eastAsia="Calibri" w:hAnsi="Times New Roman" w:cs="Times New Roman"/>
                <w:sz w:val="20"/>
                <w:szCs w:val="20"/>
              </w:rPr>
              <w:br/>
              <w:t>(ГОСА 2022)</w:t>
            </w:r>
          </w:p>
        </w:tc>
        <w:tc>
          <w:tcPr>
            <w:tcW w:w="845"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За 2022 г. </w:t>
            </w:r>
            <w:r>
              <w:rPr>
                <w:rFonts w:ascii="Times New Roman" w:eastAsia="Calibri" w:hAnsi="Times New Roman" w:cs="Times New Roman"/>
                <w:sz w:val="20"/>
                <w:szCs w:val="20"/>
              </w:rPr>
              <w:br/>
              <w:t>(ГОСА 2023)</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За 2023 г. (ГОСА 2024)</w:t>
            </w:r>
          </w:p>
        </w:tc>
      </w:tr>
      <w:tr w:rsidR="00A10DA8">
        <w:trPr>
          <w:trHeight w:val="483"/>
          <w:jc w:val="center"/>
        </w:trPr>
        <w:tc>
          <w:tcPr>
            <w:tcW w:w="2463" w:type="pct"/>
          </w:tcPr>
          <w:p w:rsidR="00A10DA8" w:rsidRDefault="00CA7E8A">
            <w:pPr>
              <w:tabs>
                <w:tab w:val="left" w:pos="142"/>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Нераспределенная прибыль (убыток) отчетного периода, в том числе:</w:t>
            </w:r>
          </w:p>
        </w:tc>
        <w:tc>
          <w:tcPr>
            <w:tcW w:w="820"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-2 720 670</w:t>
            </w:r>
          </w:p>
        </w:tc>
        <w:tc>
          <w:tcPr>
            <w:tcW w:w="845"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-1 561 110</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-830 884</w:t>
            </w:r>
          </w:p>
        </w:tc>
      </w:tr>
      <w:tr w:rsidR="00A10DA8">
        <w:trPr>
          <w:trHeight w:val="280"/>
          <w:jc w:val="center"/>
        </w:trPr>
        <w:tc>
          <w:tcPr>
            <w:tcW w:w="2463" w:type="pct"/>
          </w:tcPr>
          <w:p w:rsidR="00A10DA8" w:rsidRDefault="00CA7E8A">
            <w:pPr>
              <w:tabs>
                <w:tab w:val="left" w:pos="142"/>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Резервный фонд</w:t>
            </w:r>
          </w:p>
        </w:tc>
        <w:tc>
          <w:tcPr>
            <w:tcW w:w="820"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45"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A10DA8">
        <w:trPr>
          <w:trHeight w:val="280"/>
          <w:jc w:val="center"/>
        </w:trPr>
        <w:tc>
          <w:tcPr>
            <w:tcW w:w="2463" w:type="pct"/>
          </w:tcPr>
          <w:p w:rsidR="00A10DA8" w:rsidRDefault="00CA7E8A">
            <w:pPr>
              <w:tabs>
                <w:tab w:val="left" w:pos="142"/>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Прибыль на развитие</w:t>
            </w:r>
          </w:p>
        </w:tc>
        <w:tc>
          <w:tcPr>
            <w:tcW w:w="820"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45"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A10DA8">
        <w:trPr>
          <w:trHeight w:val="280"/>
          <w:jc w:val="center"/>
        </w:trPr>
        <w:tc>
          <w:tcPr>
            <w:tcW w:w="2463" w:type="pct"/>
          </w:tcPr>
          <w:p w:rsidR="00A10DA8" w:rsidRDefault="00CA7E8A">
            <w:pPr>
              <w:tabs>
                <w:tab w:val="left" w:pos="142"/>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Дивиденды</w:t>
            </w:r>
          </w:p>
        </w:tc>
        <w:tc>
          <w:tcPr>
            <w:tcW w:w="820"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45" w:type="pct"/>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A10DA8">
        <w:trPr>
          <w:trHeight w:val="282"/>
          <w:jc w:val="center"/>
        </w:trPr>
        <w:tc>
          <w:tcPr>
            <w:tcW w:w="2463" w:type="pct"/>
          </w:tcPr>
          <w:p w:rsidR="00A10DA8" w:rsidRDefault="00CA7E8A">
            <w:pPr>
              <w:tabs>
                <w:tab w:val="left" w:pos="142"/>
              </w:tabs>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Погашение убытков прошлых лет</w:t>
            </w:r>
          </w:p>
        </w:tc>
        <w:tc>
          <w:tcPr>
            <w:tcW w:w="820"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w:t>
            </w:r>
          </w:p>
        </w:tc>
        <w:tc>
          <w:tcPr>
            <w:tcW w:w="845" w:type="pct"/>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w:t>
            </w:r>
          </w:p>
        </w:tc>
        <w:tc>
          <w:tcPr>
            <w:tcW w:w="872" w:type="pct"/>
            <w:tcMar>
              <w:top w:w="0" w:type="dxa"/>
              <w:left w:w="108" w:type="dxa"/>
              <w:bottom w:w="0" w:type="dxa"/>
              <w:right w:w="108" w:type="dxa"/>
            </w:tcMar>
            <w:vAlign w:val="center"/>
          </w:tcPr>
          <w:p w:rsidR="00A10DA8" w:rsidRDefault="00CA7E8A">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w:t>
            </w:r>
          </w:p>
        </w:tc>
      </w:tr>
    </w:tbl>
    <w:p w:rsidR="00A10DA8" w:rsidRDefault="00CA7E8A">
      <w:pPr>
        <w:spacing w:after="0" w:line="240" w:lineRule="auto"/>
        <w:jc w:val="both"/>
        <w:rPr>
          <w:rFonts w:ascii="Times New Roman" w:eastAsia="Calibri" w:hAnsi="Times New Roman" w:cs="Times New Roman"/>
          <w:i/>
          <w:sz w:val="24"/>
          <w:szCs w:val="24"/>
        </w:rPr>
      </w:pPr>
      <w:r>
        <w:rPr>
          <w:rFonts w:ascii="Times New Roman" w:eastAsia="Calibri" w:hAnsi="Times New Roman" w:cs="Times New Roman"/>
          <w:i/>
          <w:sz w:val="24"/>
          <w:szCs w:val="24"/>
        </w:rPr>
        <w:t>* Информация о распределении прибыли в соответствии с решениями годовых общих собраний (ГОСА)</w:t>
      </w: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2022 (за 2021 год) – протокол ГОСА от 22.06.2022 № 25</w:t>
      </w: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2023 (за 2022 год) – протокол ГОСА от 07.06.2023 № 27</w:t>
      </w:r>
    </w:p>
    <w:p w:rsidR="00A10DA8" w:rsidRDefault="00CA7E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2024 (за 2023 год) – протокол ГОСА от 29.05.2024 № 28</w:t>
      </w:r>
    </w:p>
    <w:p w:rsidR="00A10DA8" w:rsidRDefault="00CA7E8A">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Уставом Общества решение о распределении прибыли по итогам 2024 года будет принято Общим собранием акционеров в 2025 году.</w:t>
      </w:r>
    </w:p>
    <w:p w:rsidR="00A10DA8" w:rsidRDefault="00CA7E8A">
      <w:pPr>
        <w:tabs>
          <w:tab w:val="left" w:pos="993"/>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Распределение прибыли по итогам 2021-2023 гг. не проводилось ввиду получения Обществом убытков. В 2022-2024 гг. Общими собраниями акционеров Общества не </w:t>
      </w:r>
      <w:r>
        <w:rPr>
          <w:rFonts w:ascii="Times New Roman" w:eastAsia="Times New Roman" w:hAnsi="Times New Roman" w:cs="Times New Roman"/>
          <w:sz w:val="24"/>
          <w:szCs w:val="24"/>
          <w:lang w:eastAsia="ru-RU"/>
        </w:rPr>
        <w:lastRenderedPageBreak/>
        <w:t>принимались решения о выплате (объявлении) дивидендов, дивиденды не начислялись и не выплачивались.</w:t>
      </w:r>
    </w:p>
    <w:p w:rsidR="00A10DA8" w:rsidRDefault="00CA7E8A">
      <w:pPr>
        <w:spacing w:after="0" w:line="240" w:lineRule="auto"/>
        <w:ind w:right="-143"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 итогам 2024 года Обществом также получен убыток. Вопрос о распределении чистой прибыли Общества по итогам 2024 года будет рассмотрен Общим собранием акционеров с учетом рекомендаций Совета директоров Общества. </w:t>
      </w:r>
    </w:p>
    <w:p w:rsidR="00A10DA8" w:rsidRDefault="00A10DA8">
      <w:pPr>
        <w:spacing w:after="160" w:line="259" w:lineRule="auto"/>
        <w:rPr>
          <w:rFonts w:ascii="Times New Roman" w:hAnsi="Times New Roman" w:cs="Times New Roman"/>
          <w:b/>
          <w:sz w:val="24"/>
          <w:szCs w:val="24"/>
        </w:rPr>
      </w:pPr>
      <w:bookmarkStart w:id="61" w:name="_Toc441075255"/>
      <w:bookmarkStart w:id="62" w:name="_Toc67663078"/>
      <w:bookmarkStart w:id="63" w:name="_Toc100218043"/>
    </w:p>
    <w:p w:rsidR="00A10DA8" w:rsidRDefault="00CA7E8A" w:rsidP="006C5ED6">
      <w:pPr>
        <w:pStyle w:val="1"/>
        <w:rPr>
          <w:b w:val="0"/>
        </w:rPr>
      </w:pPr>
      <w:bookmarkStart w:id="64" w:name="_Toc195780443"/>
      <w:r>
        <w:t>Контактная информация</w:t>
      </w:r>
      <w:bookmarkEnd w:id="61"/>
      <w:bookmarkEnd w:id="62"/>
      <w:bookmarkEnd w:id="63"/>
      <w:bookmarkEnd w:id="64"/>
    </w:p>
    <w:p w:rsidR="006C5ED6" w:rsidRDefault="006C5ED6">
      <w:pPr>
        <w:spacing w:after="0" w:line="240" w:lineRule="auto"/>
        <w:jc w:val="both"/>
        <w:rPr>
          <w:rFonts w:ascii="Times New Roman" w:hAnsi="Times New Roman" w:cs="Times New Roman"/>
          <w:b/>
          <w:sz w:val="24"/>
          <w:szCs w:val="24"/>
        </w:rPr>
      </w:pP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Полное наименование</w:t>
      </w:r>
      <w:r>
        <w:rPr>
          <w:rFonts w:ascii="Times New Roman" w:hAnsi="Times New Roman" w:cs="Times New Roman"/>
          <w:sz w:val="24"/>
          <w:szCs w:val="24"/>
        </w:rPr>
        <w:t>: Акционерное общество «Чеченэнерго»</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Сокращенное наименование</w:t>
      </w:r>
      <w:r>
        <w:rPr>
          <w:rFonts w:ascii="Times New Roman" w:hAnsi="Times New Roman" w:cs="Times New Roman"/>
          <w:sz w:val="24"/>
          <w:szCs w:val="24"/>
        </w:rPr>
        <w:t>: АО «Чеченэнерго»</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Место нахождения</w:t>
      </w:r>
      <w:r>
        <w:rPr>
          <w:rFonts w:ascii="Times New Roman" w:hAnsi="Times New Roman" w:cs="Times New Roman"/>
          <w:sz w:val="24"/>
          <w:szCs w:val="24"/>
        </w:rPr>
        <w:t>: Чеченская Республика, г. Грозный</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Почтовый адрес</w:t>
      </w:r>
      <w:r>
        <w:rPr>
          <w:rFonts w:ascii="Times New Roman" w:hAnsi="Times New Roman" w:cs="Times New Roman"/>
          <w:sz w:val="24"/>
          <w:szCs w:val="24"/>
        </w:rPr>
        <w:t>: 364020, Российская Федерация, Чеченская Республика, г. Грозный, Старопромысловское шоссе, 6</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Корпоративный интернет-сайт</w:t>
      </w:r>
      <w:r>
        <w:rPr>
          <w:rFonts w:ascii="Times New Roman" w:hAnsi="Times New Roman" w:cs="Times New Roman"/>
          <w:sz w:val="24"/>
          <w:szCs w:val="24"/>
        </w:rPr>
        <w:t xml:space="preserve">: </w:t>
      </w:r>
      <w:hyperlink r:id="rId40" w:tooltip="http://www.chechenergo.ru" w:history="1">
        <w:r>
          <w:rPr>
            <w:rStyle w:val="afb"/>
            <w:rFonts w:ascii="Times New Roman" w:hAnsi="Times New Roman" w:cs="Times New Roman"/>
            <w:sz w:val="24"/>
            <w:szCs w:val="24"/>
          </w:rPr>
          <w:t>http://www.chechenergo.ru</w:t>
        </w:r>
      </w:hyperlink>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Основной государственный регистрационный номер</w:t>
      </w:r>
      <w:r>
        <w:rPr>
          <w:rFonts w:ascii="Times New Roman" w:hAnsi="Times New Roman" w:cs="Times New Roman"/>
          <w:sz w:val="24"/>
          <w:szCs w:val="24"/>
        </w:rPr>
        <w:t>: 1082031002503</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ИНН</w:t>
      </w:r>
      <w:r>
        <w:rPr>
          <w:rFonts w:ascii="Times New Roman" w:hAnsi="Times New Roman" w:cs="Times New Roman"/>
          <w:sz w:val="24"/>
          <w:szCs w:val="24"/>
        </w:rPr>
        <w:t xml:space="preserve"> 2016081143</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КПП </w:t>
      </w:r>
      <w:r>
        <w:rPr>
          <w:rFonts w:ascii="Times New Roman" w:hAnsi="Times New Roman" w:cs="Times New Roman"/>
          <w:sz w:val="24"/>
          <w:szCs w:val="24"/>
        </w:rPr>
        <w:t>201401001</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Контактный телефон /факс (приемная)</w:t>
      </w:r>
      <w:r>
        <w:rPr>
          <w:rFonts w:ascii="Times New Roman" w:hAnsi="Times New Roman" w:cs="Times New Roman"/>
          <w:sz w:val="24"/>
          <w:szCs w:val="24"/>
        </w:rPr>
        <w:t>: +7 (8712) 22-64-38, 22-20-07</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Адрес электронной почты</w:t>
      </w:r>
      <w:r>
        <w:rPr>
          <w:rFonts w:ascii="Times New Roman" w:hAnsi="Times New Roman" w:cs="Times New Roman"/>
          <w:sz w:val="24"/>
          <w:szCs w:val="24"/>
        </w:rPr>
        <w:t xml:space="preserve">: info@chechenergo.ru </w:t>
      </w:r>
    </w:p>
    <w:p w:rsidR="00A10DA8" w:rsidRDefault="00A10DA8">
      <w:pPr>
        <w:spacing w:after="0" w:line="240" w:lineRule="auto"/>
        <w:jc w:val="both"/>
        <w:rPr>
          <w:rFonts w:ascii="Times New Roman" w:hAnsi="Times New Roman" w:cs="Times New Roman"/>
          <w:b/>
          <w:sz w:val="24"/>
          <w:szCs w:val="24"/>
        </w:rPr>
      </w:pPr>
    </w:p>
    <w:p w:rsidR="00A10DA8" w:rsidRDefault="00CA7E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Единоличный исполнительный орган (Управляющая организация)</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ПАО «Россети Северный Кавказ»</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Генеральный директор ПАО «Россети Северный Кавказ» – Левченко Роман Алексеевич</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Телефон: +7 (8793) 34-66-81, 34-66-82, 40-17-11</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Факс: +7 (8793) 40-18-20</w:t>
      </w:r>
    </w:p>
    <w:p w:rsidR="00A10DA8" w:rsidRDefault="00CA7E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«Горячая линия» для клиентов</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8-800-775-91-12</w:t>
      </w:r>
    </w:p>
    <w:p w:rsidR="00A10DA8" w:rsidRDefault="00A10DA8">
      <w:pPr>
        <w:spacing w:after="0" w:line="240" w:lineRule="auto"/>
        <w:jc w:val="both"/>
        <w:rPr>
          <w:rFonts w:ascii="Times New Roman" w:hAnsi="Times New Roman" w:cs="Times New Roman"/>
          <w:b/>
          <w:sz w:val="24"/>
          <w:szCs w:val="24"/>
        </w:rPr>
      </w:pPr>
    </w:p>
    <w:p w:rsidR="00A10DA8" w:rsidRDefault="00CA7E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Регистратор</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Акционерное общество «Регистраторское общество «СТАТУС»</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АО «СТАТУС»</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Лицензия № 10-000-1-00304 от 12.03.2004 (бессрочная) выдана Федеральной комиссией по рынку ценных бумаг</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Адрес: Россия, 109052, г. Москва, ул. Новохохловская, д. 23, строение 1, помещение 1</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Адрес в сети Интернет: www.rostatus.ru</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Адрес электронной почты: office@rostatus.ru</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Телефон: +7 (495) 974-83-50</w:t>
      </w:r>
    </w:p>
    <w:p w:rsidR="00A10DA8" w:rsidRDefault="00CA7E8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Факс: +7 (495) 678-71-10</w:t>
      </w:r>
    </w:p>
    <w:p w:rsidR="00A10DA8" w:rsidRDefault="00A10DA8">
      <w:pPr>
        <w:spacing w:after="0" w:line="240" w:lineRule="auto"/>
        <w:jc w:val="both"/>
        <w:rPr>
          <w:rFonts w:ascii="Times New Roman" w:hAnsi="Times New Roman" w:cs="Times New Roman"/>
          <w:b/>
          <w:sz w:val="24"/>
          <w:szCs w:val="24"/>
        </w:rPr>
      </w:pPr>
    </w:p>
    <w:p w:rsidR="00A10DA8" w:rsidRDefault="00CA7E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Аудитор</w:t>
      </w:r>
      <w:bookmarkEnd w:id="56"/>
    </w:p>
    <w:p w:rsidR="00A10DA8" w:rsidRDefault="00A10DA8">
      <w:pPr>
        <w:spacing w:after="0" w:line="240" w:lineRule="auto"/>
        <w:jc w:val="both"/>
        <w:rPr>
          <w:rFonts w:ascii="Times New Roman" w:hAnsi="Times New Roman" w:cs="Times New Roman"/>
          <w:b/>
          <w:sz w:val="24"/>
          <w:szCs w:val="24"/>
        </w:rPr>
      </w:pP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Полное фирменное наименование: Общество с ограниченной ответственностью «ЦЕНТР АУДИТОРСКИХ ТЕХНОЛОГИЙ И РЕШЕНИЙ - АУДИТОРСКИЕ УСЛУГИ»</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Сокращенное фирменное наименование: ООО «ЦАТР-АУДИТОРСКИЕ УСЛУГИ»</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ИНН: 7709383532 ОГРН: 1027739707203</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Место нахождения: 115035, г. Москва, Садовническая набережная, д. 77, стр. 1</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Адрес в сети Интернет: https://www.b1.ru/</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Адрес электронной почты: info@b1.ru</w:t>
      </w:r>
    </w:p>
    <w:p w:rsidR="00A10DA8" w:rsidRDefault="00CA7E8A">
      <w:pPr>
        <w:shd w:val="clear" w:color="auto" w:fill="FFFFFF" w:themeFill="background1"/>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Телефон приемной/факс: (495) 755-97-00/755-97-01</w:t>
      </w:r>
    </w:p>
    <w:p w:rsidR="00A10DA8" w:rsidRDefault="00A10DA8">
      <w:pPr>
        <w:spacing w:after="0" w:line="240" w:lineRule="auto"/>
        <w:jc w:val="both"/>
        <w:rPr>
          <w:rFonts w:ascii="Times New Roman" w:hAnsi="Times New Roman" w:cs="Times New Roman"/>
          <w:b/>
          <w:sz w:val="24"/>
          <w:szCs w:val="24"/>
        </w:rPr>
      </w:pPr>
    </w:p>
    <w:sectPr w:rsidR="00A10DA8">
      <w:headerReference w:type="default" r:id="rId41"/>
      <w:footnotePr>
        <w:numRestart w:val="eachPage"/>
      </w:footnotePr>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7F4F" w:rsidRDefault="00577F4F">
      <w:pPr>
        <w:spacing w:after="0" w:line="240" w:lineRule="auto"/>
      </w:pPr>
      <w:r>
        <w:separator/>
      </w:r>
    </w:p>
  </w:endnote>
  <w:endnote w:type="continuationSeparator" w:id="0">
    <w:p w:rsidR="00577F4F" w:rsidRDefault="00577F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StarSymbol">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roman"/>
    <w:pitch w:val="fixed"/>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AGOpus">
    <w:panose1 w:val="00000000000000000000"/>
    <w:charset w:val="00"/>
    <w:family w:val="auto"/>
    <w:notTrueType/>
    <w:pitch w:val="variable"/>
    <w:sig w:usb0="00000003" w:usb1="00000000" w:usb2="00000000" w:usb3="00000000" w:csb0="00000001" w:csb1="00000000"/>
  </w:font>
  <w:font w:name="Futura Bk">
    <w:panose1 w:val="00000000000000000000"/>
    <w:charset w:val="CC"/>
    <w:family w:val="swiss"/>
    <w:notTrueType/>
    <w:pitch w:val="variable"/>
    <w:sig w:usb0="00000203" w:usb1="00000000" w:usb2="00000000" w:usb3="00000000" w:csb0="00000005" w:csb1="00000000"/>
  </w:font>
  <w:font w:name="a_FuturaOrto">
    <w:panose1 w:val="00000000000000000000"/>
    <w:charset w:val="CC"/>
    <w:family w:val="roman"/>
    <w:notTrueType/>
    <w:pitch w:val="default"/>
    <w:sig w:usb0="00000203" w:usb1="00000000" w:usb2="00000000" w:usb3="00000000" w:csb0="00000005" w:csb1="00000000"/>
  </w:font>
  <w:font w:name="Times">
    <w:panose1 w:val="02020603050405020304"/>
    <w:charset w:val="CC"/>
    <w:family w:val="roman"/>
    <w:pitch w:val="variable"/>
    <w:sig w:usb0="E0002EFF" w:usb1="C000785B" w:usb2="00000009" w:usb3="00000000" w:csb0="000001FF" w:csb1="00000000"/>
  </w:font>
  <w:font w:name="TimesNewRoman">
    <w:panose1 w:val="00000000000000000000"/>
    <w:charset w:val="CC"/>
    <w:family w:val="auto"/>
    <w:notTrueType/>
    <w:pitch w:val="default"/>
    <w:sig w:usb0="00000203" w:usb1="00000000" w:usb2="00000000" w:usb3="00000000" w:csb0="00000005" w:csb1="00000000"/>
  </w:font>
  <w:font w:name="CharterC">
    <w:panose1 w:val="00000000000000000000"/>
    <w:charset w:val="CC"/>
    <w:family w:val="roman"/>
    <w:notTrueType/>
    <w:pitch w:val="default"/>
    <w:sig w:usb0="00000201" w:usb1="00000000" w:usb2="00000000" w:usb3="00000000" w:csb0="00000004" w:csb1="00000000"/>
  </w:font>
  <w:font w:name="Univers LT CYR 45 Light">
    <w:altName w:val="Arial"/>
    <w:charset w:val="00"/>
    <w:family w:val="auto"/>
    <w:pitch w:val="default"/>
  </w:font>
  <w:font w:name="Univers LT CYR 47 Lt Cn">
    <w:altName w:val="Calibri"/>
    <w:charset w:val="00"/>
    <w:family w:val="auto"/>
    <w:pitch w:val="default"/>
  </w:font>
  <w:font w:name="Stem Text">
    <w:altName w:val="MS Gothic"/>
    <w:charset w:val="00"/>
    <w:family w:val="auto"/>
    <w:pitch w:val="default"/>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7F4F" w:rsidRDefault="00577F4F">
      <w:pPr>
        <w:spacing w:after="0" w:line="240" w:lineRule="auto"/>
      </w:pPr>
      <w:r>
        <w:separator/>
      </w:r>
    </w:p>
  </w:footnote>
  <w:footnote w:type="continuationSeparator" w:id="0">
    <w:p w:rsidR="00577F4F" w:rsidRDefault="00577F4F">
      <w:pPr>
        <w:spacing w:after="0" w:line="240" w:lineRule="auto"/>
      </w:pPr>
      <w:r>
        <w:continuationSeparator/>
      </w:r>
    </w:p>
  </w:footnote>
  <w:footnote w:id="1">
    <w:p w:rsidR="00A10DA8" w:rsidRDefault="00CA7E8A">
      <w:pPr>
        <w:pStyle w:val="afc"/>
        <w:jc w:val="both"/>
      </w:pPr>
      <w:r>
        <w:rPr>
          <w:rStyle w:val="afe"/>
        </w:rPr>
        <w:footnoteRef/>
      </w:r>
      <w:r>
        <w:t xml:space="preserve"> По состоянию на 01.01.2025 согласно данным Росстата о численности населения по субъектам Российской Федерации на 01.01.2025 (источник: </w:t>
      </w:r>
      <w:hyperlink r:id="rId1" w:tooltip="https://rosstat.gov.ru" w:history="1">
        <w:r>
          <w:rPr>
            <w:rStyle w:val="afb"/>
          </w:rPr>
          <w:t>https://rosstat.gov.ru</w:t>
        </w:r>
      </w:hyperlink>
      <w:r>
        <w:t>).</w:t>
      </w:r>
    </w:p>
  </w:footnote>
  <w:footnote w:id="2">
    <w:p w:rsidR="00A10DA8" w:rsidRDefault="00CA7E8A">
      <w:pPr>
        <w:pStyle w:val="afc"/>
        <w:jc w:val="both"/>
      </w:pPr>
      <w:r>
        <w:rPr>
          <w:rStyle w:val="afe"/>
        </w:rPr>
        <w:footnoteRef/>
      </w:r>
      <w:r>
        <w:t>Указывается весь перечень изменений в Обществе в 2024 году.</w:t>
      </w:r>
    </w:p>
  </w:footnote>
  <w:footnote w:id="3">
    <w:p w:rsidR="00A10DA8" w:rsidRDefault="00CA7E8A">
      <w:pPr>
        <w:pStyle w:val="afc"/>
        <w:jc w:val="both"/>
      </w:pPr>
      <w:r>
        <w:rPr>
          <w:rStyle w:val="afe"/>
        </w:rPr>
        <w:footnoteRef/>
      </w:r>
      <w:r>
        <w:t xml:space="preserve"> За 2024 год приведен ожидаемый уровень достижения КПЭ и ФКПЭ,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АО «Чеченэнерго»</w:t>
      </w:r>
    </w:p>
  </w:footnote>
  <w:footnote w:id="4">
    <w:p w:rsidR="00A10DA8" w:rsidRDefault="00CA7E8A">
      <w:pPr>
        <w:pStyle w:val="afc"/>
        <w:jc w:val="both"/>
      </w:pPr>
      <w:r>
        <w:rPr>
          <w:rStyle w:val="afe"/>
        </w:rPr>
        <w:footnoteRef/>
      </w:r>
      <w:r>
        <w:t xml:space="preserve"> В случае если процент достижения КПЭ составляет более 120%, то указывается — равный 120%, в случае если процент достижения менее 80%, указывается процент достижения равный 0%. В случае если процент достижения ФКПЭ составляет более 100%, то указывается — равный 100%, в случае если процент достижения менее 90%, указывается процент достижения равный 0%</w:t>
      </w:r>
    </w:p>
  </w:footnote>
  <w:footnote w:id="5">
    <w:p w:rsidR="00A10DA8" w:rsidRDefault="00CA7E8A">
      <w:pPr>
        <w:pStyle w:val="afc"/>
      </w:pPr>
      <w:r>
        <w:rPr>
          <w:rStyle w:val="afe"/>
        </w:rPr>
        <w:footnoteRef/>
      </w:r>
      <w:r>
        <w:t xml:space="preserve"> Состав и целевые значения показателей могут быть скорректированы по решению Совета директоров Общества.</w:t>
      </w:r>
    </w:p>
  </w:footnote>
  <w:footnote w:id="6">
    <w:p w:rsidR="008729A7" w:rsidRDefault="008729A7">
      <w:pPr>
        <w:pStyle w:val="afc"/>
      </w:pPr>
      <w:r>
        <w:rPr>
          <w:rStyle w:val="afe"/>
        </w:rPr>
        <w:footnoteRef/>
      </w:r>
      <w:r>
        <w:t xml:space="preserve"> </w:t>
      </w:r>
      <w:r w:rsidRPr="00D01D5E">
        <w:t xml:space="preserve">Ввиду </w:t>
      </w:r>
      <w:r w:rsidRPr="00701811">
        <w:t>невыполнения условия ROIC &gt;0 и EBIT &gt;0</w:t>
      </w:r>
      <w:r w:rsidRPr="00D01D5E">
        <w:t xml:space="preserve"> в качестве целевых и достигнутых значений за 2023-2024</w:t>
      </w:r>
      <w:r w:rsidR="002C44F6">
        <w:t xml:space="preserve"> </w:t>
      </w:r>
      <w:r w:rsidRPr="00D01D5E">
        <w:t>гг. указаны значения показателя EBIT</w:t>
      </w:r>
      <w:r>
        <w:t>.</w:t>
      </w:r>
    </w:p>
  </w:footnote>
  <w:footnote w:id="7">
    <w:p w:rsidR="00A10DA8" w:rsidRDefault="00CA7E8A">
      <w:pPr>
        <w:pStyle w:val="afc"/>
      </w:pPr>
      <w:r>
        <w:rPr>
          <w:rStyle w:val="afe"/>
        </w:rPr>
        <w:footnoteRef/>
      </w:r>
      <w:r>
        <w:t xml:space="preserve"> За 2024 год приведен ожидаемый уровень достижения КПЭ и ФКПЭ,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АО «Чеченэнерго»</w:t>
      </w:r>
    </w:p>
  </w:footnote>
  <w:footnote w:id="8">
    <w:p w:rsidR="00A10DA8" w:rsidRDefault="00CA7E8A">
      <w:pPr>
        <w:pStyle w:val="afc"/>
      </w:pPr>
      <w:r>
        <w:rPr>
          <w:rStyle w:val="afe"/>
        </w:rPr>
        <w:footnoteRef/>
      </w:r>
      <w:r>
        <w:t xml:space="preserve"> В случае если процент достижения КПЭ составляет более 120%, то указывается — равный 120%, в случае если процент достижения менее 80%, указывается процент достижения равный 0%. В случае если процент достижения ФКПЭ составляет более 100%, то указывается — равный 100%, в случае если процент достижения менее 90%, указывается процент достижения равный 0%</w:t>
      </w:r>
    </w:p>
  </w:footnote>
  <w:footnote w:id="9">
    <w:p w:rsidR="00A10DA8" w:rsidRDefault="00CA7E8A">
      <w:pPr>
        <w:pStyle w:val="afc"/>
      </w:pPr>
      <w:r>
        <w:rPr>
          <w:rStyle w:val="afe"/>
        </w:rPr>
        <w:footnoteRef/>
      </w:r>
      <w:r>
        <w:t xml:space="preserve"> Состав и целевые значения показателей могут быть скорректированы по решению Совета директоров Общества.</w:t>
      </w:r>
    </w:p>
  </w:footnote>
  <w:footnote w:id="10">
    <w:p w:rsidR="008729A7" w:rsidRDefault="008729A7">
      <w:pPr>
        <w:pStyle w:val="afc"/>
      </w:pPr>
      <w:r>
        <w:rPr>
          <w:rStyle w:val="afe"/>
        </w:rPr>
        <w:footnoteRef/>
      </w:r>
      <w:r>
        <w:t xml:space="preserve"> </w:t>
      </w:r>
      <w:r w:rsidRPr="00701811">
        <w:t xml:space="preserve">Ввиду невыполнения условия Долг / EBITDA ≥ 0 в качестве целевого и достигнутого значения </w:t>
      </w:r>
      <w:r>
        <w:t xml:space="preserve">за 2024 год </w:t>
      </w:r>
      <w:r w:rsidRPr="00701811">
        <w:t>указ</w:t>
      </w:r>
      <w:r>
        <w:t>аны</w:t>
      </w:r>
      <w:r w:rsidRPr="00701811">
        <w:t xml:space="preserve"> значения показателя Долг</w:t>
      </w:r>
      <w:r>
        <w:t>.</w:t>
      </w:r>
    </w:p>
  </w:footnote>
  <w:footnote w:id="11">
    <w:p w:rsidR="00A10DA8" w:rsidRDefault="00CA7E8A">
      <w:pPr>
        <w:pStyle w:val="afc"/>
      </w:pPr>
      <w:r>
        <w:rPr>
          <w:rStyle w:val="afe"/>
        </w:rPr>
        <w:footnoteRef/>
      </w:r>
      <w:r>
        <w:t xml:space="preserve"> До 29.10.2024 действовала редакция Устава АО «Чеченэнерго», утвержденная решением годового Общего собрания акционеров 19.05.2021 (протокол от 20.05.2021 № 23), с учетом всех внесенных изменений.</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6282256"/>
      <w:docPartObj>
        <w:docPartGallery w:val="Page Numbers (Top of Page)"/>
        <w:docPartUnique/>
      </w:docPartObj>
    </w:sdtPr>
    <w:sdtEndPr/>
    <w:sdtContent>
      <w:p w:rsidR="00A10DA8" w:rsidRDefault="00CA7E8A">
        <w:pPr>
          <w:pStyle w:val="af1"/>
          <w:jc w:val="center"/>
        </w:pPr>
        <w:r>
          <w:fldChar w:fldCharType="begin"/>
        </w:r>
        <w:r>
          <w:instrText>PAGE   \* MERGEFORMAT</w:instrText>
        </w:r>
        <w:r>
          <w:fldChar w:fldCharType="separate"/>
        </w:r>
        <w:r w:rsidR="001132D9">
          <w:rPr>
            <w:noProof/>
          </w:rPr>
          <w:t>74</w:t>
        </w:r>
        <w:r>
          <w:fldChar w:fldCharType="end"/>
        </w:r>
      </w:p>
    </w:sdtContent>
  </w:sdt>
  <w:p w:rsidR="00A10DA8" w:rsidRDefault="00A10DA8">
    <w:pPr>
      <w:pStyle w:val="af1"/>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5530972"/>
      <w:docPartObj>
        <w:docPartGallery w:val="Page Numbers (Top of Page)"/>
        <w:docPartUnique/>
      </w:docPartObj>
    </w:sdtPr>
    <w:sdtEndPr/>
    <w:sdtContent>
      <w:p w:rsidR="00A10DA8" w:rsidRDefault="00CA7E8A">
        <w:pPr>
          <w:pStyle w:val="af1"/>
          <w:jc w:val="center"/>
        </w:pPr>
        <w:r>
          <w:fldChar w:fldCharType="begin"/>
        </w:r>
        <w:r>
          <w:instrText>PAGE   \* MERGEFORMAT</w:instrText>
        </w:r>
        <w:r>
          <w:fldChar w:fldCharType="separate"/>
        </w:r>
        <w:r w:rsidR="001132D9">
          <w:rPr>
            <w:noProof/>
          </w:rPr>
          <w:t>90</w:t>
        </w:r>
        <w:r>
          <w:fldChar w:fldCharType="end"/>
        </w:r>
      </w:p>
    </w:sdtContent>
  </w:sdt>
  <w:p w:rsidR="00A10DA8" w:rsidRDefault="00A10DA8">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01045"/>
    <w:multiLevelType w:val="hybridMultilevel"/>
    <w:tmpl w:val="CEA65986"/>
    <w:lvl w:ilvl="0" w:tplc="0108DED2">
      <w:start w:val="2"/>
      <w:numFmt w:val="decimal"/>
      <w:lvlText w:val="%1."/>
      <w:lvlJc w:val="left"/>
      <w:pPr>
        <w:ind w:left="1080" w:hanging="360"/>
      </w:pPr>
      <w:rPr>
        <w:rFonts w:hint="default"/>
      </w:rPr>
    </w:lvl>
    <w:lvl w:ilvl="1" w:tplc="E3746FC8">
      <w:start w:val="1"/>
      <w:numFmt w:val="lowerLetter"/>
      <w:lvlText w:val="%2."/>
      <w:lvlJc w:val="left"/>
      <w:pPr>
        <w:ind w:left="1800" w:hanging="360"/>
      </w:pPr>
    </w:lvl>
    <w:lvl w:ilvl="2" w:tplc="BFEAFDC8">
      <w:start w:val="1"/>
      <w:numFmt w:val="lowerRoman"/>
      <w:lvlText w:val="%3."/>
      <w:lvlJc w:val="right"/>
      <w:pPr>
        <w:ind w:left="2520" w:hanging="180"/>
      </w:pPr>
    </w:lvl>
    <w:lvl w:ilvl="3" w:tplc="74B84BD2">
      <w:start w:val="1"/>
      <w:numFmt w:val="decimal"/>
      <w:lvlText w:val="%4."/>
      <w:lvlJc w:val="left"/>
      <w:pPr>
        <w:ind w:left="3240" w:hanging="360"/>
      </w:pPr>
    </w:lvl>
    <w:lvl w:ilvl="4" w:tplc="4296F42C">
      <w:start w:val="1"/>
      <w:numFmt w:val="lowerLetter"/>
      <w:lvlText w:val="%5."/>
      <w:lvlJc w:val="left"/>
      <w:pPr>
        <w:ind w:left="3960" w:hanging="360"/>
      </w:pPr>
    </w:lvl>
    <w:lvl w:ilvl="5" w:tplc="D9EE1D5A">
      <w:start w:val="1"/>
      <w:numFmt w:val="lowerRoman"/>
      <w:lvlText w:val="%6."/>
      <w:lvlJc w:val="right"/>
      <w:pPr>
        <w:ind w:left="4680" w:hanging="180"/>
      </w:pPr>
    </w:lvl>
    <w:lvl w:ilvl="6" w:tplc="6026109A">
      <w:start w:val="1"/>
      <w:numFmt w:val="decimal"/>
      <w:lvlText w:val="%7."/>
      <w:lvlJc w:val="left"/>
      <w:pPr>
        <w:ind w:left="5400" w:hanging="360"/>
      </w:pPr>
    </w:lvl>
    <w:lvl w:ilvl="7" w:tplc="3A5E8E24">
      <w:start w:val="1"/>
      <w:numFmt w:val="lowerLetter"/>
      <w:lvlText w:val="%8."/>
      <w:lvlJc w:val="left"/>
      <w:pPr>
        <w:ind w:left="6120" w:hanging="360"/>
      </w:pPr>
    </w:lvl>
    <w:lvl w:ilvl="8" w:tplc="98322B1C">
      <w:start w:val="1"/>
      <w:numFmt w:val="lowerRoman"/>
      <w:lvlText w:val="%9."/>
      <w:lvlJc w:val="right"/>
      <w:pPr>
        <w:ind w:left="6840" w:hanging="180"/>
      </w:pPr>
    </w:lvl>
  </w:abstractNum>
  <w:abstractNum w:abstractNumId="1" w15:restartNumberingAfterBreak="0">
    <w:nsid w:val="0291334D"/>
    <w:multiLevelType w:val="hybridMultilevel"/>
    <w:tmpl w:val="8968DCAE"/>
    <w:lvl w:ilvl="0" w:tplc="A16AE808">
      <w:start w:val="1"/>
      <w:numFmt w:val="bullet"/>
      <w:lvlText w:val=""/>
      <w:lvlJc w:val="left"/>
      <w:pPr>
        <w:ind w:left="1287" w:hanging="360"/>
      </w:pPr>
      <w:rPr>
        <w:rFonts w:ascii="Symbol" w:hAnsi="Symbol" w:hint="default"/>
      </w:rPr>
    </w:lvl>
    <w:lvl w:ilvl="1" w:tplc="13C0EDAA">
      <w:start w:val="1"/>
      <w:numFmt w:val="bullet"/>
      <w:lvlText w:val="o"/>
      <w:lvlJc w:val="left"/>
      <w:pPr>
        <w:ind w:left="2007" w:hanging="360"/>
      </w:pPr>
      <w:rPr>
        <w:rFonts w:ascii="Courier New" w:hAnsi="Courier New" w:cs="Courier New" w:hint="default"/>
      </w:rPr>
    </w:lvl>
    <w:lvl w:ilvl="2" w:tplc="20582240">
      <w:start w:val="1"/>
      <w:numFmt w:val="bullet"/>
      <w:lvlText w:val=""/>
      <w:lvlJc w:val="left"/>
      <w:pPr>
        <w:ind w:left="2727" w:hanging="360"/>
      </w:pPr>
      <w:rPr>
        <w:rFonts w:ascii="Wingdings" w:hAnsi="Wingdings" w:hint="default"/>
      </w:rPr>
    </w:lvl>
    <w:lvl w:ilvl="3" w:tplc="46B8963A">
      <w:start w:val="1"/>
      <w:numFmt w:val="bullet"/>
      <w:lvlText w:val=""/>
      <w:lvlJc w:val="left"/>
      <w:pPr>
        <w:ind w:left="3447" w:hanging="360"/>
      </w:pPr>
      <w:rPr>
        <w:rFonts w:ascii="Symbol" w:hAnsi="Symbol" w:hint="default"/>
      </w:rPr>
    </w:lvl>
    <w:lvl w:ilvl="4" w:tplc="C302A78A">
      <w:start w:val="1"/>
      <w:numFmt w:val="bullet"/>
      <w:lvlText w:val="o"/>
      <w:lvlJc w:val="left"/>
      <w:pPr>
        <w:ind w:left="4167" w:hanging="360"/>
      </w:pPr>
      <w:rPr>
        <w:rFonts w:ascii="Courier New" w:hAnsi="Courier New" w:cs="Courier New" w:hint="default"/>
      </w:rPr>
    </w:lvl>
    <w:lvl w:ilvl="5" w:tplc="F3B87994">
      <w:start w:val="1"/>
      <w:numFmt w:val="bullet"/>
      <w:lvlText w:val=""/>
      <w:lvlJc w:val="left"/>
      <w:pPr>
        <w:ind w:left="4887" w:hanging="360"/>
      </w:pPr>
      <w:rPr>
        <w:rFonts w:ascii="Wingdings" w:hAnsi="Wingdings" w:hint="default"/>
      </w:rPr>
    </w:lvl>
    <w:lvl w:ilvl="6" w:tplc="87A65196">
      <w:start w:val="1"/>
      <w:numFmt w:val="bullet"/>
      <w:lvlText w:val=""/>
      <w:lvlJc w:val="left"/>
      <w:pPr>
        <w:ind w:left="5607" w:hanging="360"/>
      </w:pPr>
      <w:rPr>
        <w:rFonts w:ascii="Symbol" w:hAnsi="Symbol" w:hint="default"/>
      </w:rPr>
    </w:lvl>
    <w:lvl w:ilvl="7" w:tplc="6BC4C242">
      <w:start w:val="1"/>
      <w:numFmt w:val="bullet"/>
      <w:lvlText w:val="o"/>
      <w:lvlJc w:val="left"/>
      <w:pPr>
        <w:ind w:left="6327" w:hanging="360"/>
      </w:pPr>
      <w:rPr>
        <w:rFonts w:ascii="Courier New" w:hAnsi="Courier New" w:cs="Courier New" w:hint="default"/>
      </w:rPr>
    </w:lvl>
    <w:lvl w:ilvl="8" w:tplc="E4A29966">
      <w:start w:val="1"/>
      <w:numFmt w:val="bullet"/>
      <w:lvlText w:val=""/>
      <w:lvlJc w:val="left"/>
      <w:pPr>
        <w:ind w:left="7047" w:hanging="360"/>
      </w:pPr>
      <w:rPr>
        <w:rFonts w:ascii="Wingdings" w:hAnsi="Wingdings" w:hint="default"/>
      </w:rPr>
    </w:lvl>
  </w:abstractNum>
  <w:abstractNum w:abstractNumId="2" w15:restartNumberingAfterBreak="0">
    <w:nsid w:val="091E77F2"/>
    <w:multiLevelType w:val="hybridMultilevel"/>
    <w:tmpl w:val="90162066"/>
    <w:lvl w:ilvl="0" w:tplc="332C6926">
      <w:start w:val="1"/>
      <w:numFmt w:val="bullet"/>
      <w:lvlText w:val=""/>
      <w:lvlJc w:val="left"/>
      <w:pPr>
        <w:ind w:left="1287" w:hanging="360"/>
      </w:pPr>
      <w:rPr>
        <w:rFonts w:ascii="Symbol" w:hAnsi="Symbol" w:hint="default"/>
      </w:rPr>
    </w:lvl>
    <w:lvl w:ilvl="1" w:tplc="361079AA">
      <w:start w:val="1"/>
      <w:numFmt w:val="bullet"/>
      <w:lvlText w:val="o"/>
      <w:lvlJc w:val="left"/>
      <w:pPr>
        <w:ind w:left="2007" w:hanging="360"/>
      </w:pPr>
      <w:rPr>
        <w:rFonts w:ascii="Courier New" w:hAnsi="Courier New" w:cs="Courier New" w:hint="default"/>
      </w:rPr>
    </w:lvl>
    <w:lvl w:ilvl="2" w:tplc="DF30D826">
      <w:start w:val="1"/>
      <w:numFmt w:val="bullet"/>
      <w:lvlText w:val=""/>
      <w:lvlJc w:val="left"/>
      <w:pPr>
        <w:ind w:left="2727" w:hanging="360"/>
      </w:pPr>
      <w:rPr>
        <w:rFonts w:ascii="Wingdings" w:hAnsi="Wingdings" w:hint="default"/>
      </w:rPr>
    </w:lvl>
    <w:lvl w:ilvl="3" w:tplc="E576A74C">
      <w:start w:val="1"/>
      <w:numFmt w:val="bullet"/>
      <w:lvlText w:val=""/>
      <w:lvlJc w:val="left"/>
      <w:pPr>
        <w:ind w:left="3447" w:hanging="360"/>
      </w:pPr>
      <w:rPr>
        <w:rFonts w:ascii="Symbol" w:hAnsi="Symbol" w:hint="default"/>
      </w:rPr>
    </w:lvl>
    <w:lvl w:ilvl="4" w:tplc="8DE4E6CC">
      <w:start w:val="1"/>
      <w:numFmt w:val="bullet"/>
      <w:lvlText w:val="o"/>
      <w:lvlJc w:val="left"/>
      <w:pPr>
        <w:ind w:left="4167" w:hanging="360"/>
      </w:pPr>
      <w:rPr>
        <w:rFonts w:ascii="Courier New" w:hAnsi="Courier New" w:cs="Courier New" w:hint="default"/>
      </w:rPr>
    </w:lvl>
    <w:lvl w:ilvl="5" w:tplc="A1D02904">
      <w:start w:val="1"/>
      <w:numFmt w:val="bullet"/>
      <w:lvlText w:val=""/>
      <w:lvlJc w:val="left"/>
      <w:pPr>
        <w:ind w:left="4887" w:hanging="360"/>
      </w:pPr>
      <w:rPr>
        <w:rFonts w:ascii="Wingdings" w:hAnsi="Wingdings" w:hint="default"/>
      </w:rPr>
    </w:lvl>
    <w:lvl w:ilvl="6" w:tplc="ECD8DA96">
      <w:start w:val="1"/>
      <w:numFmt w:val="bullet"/>
      <w:lvlText w:val=""/>
      <w:lvlJc w:val="left"/>
      <w:pPr>
        <w:ind w:left="5607" w:hanging="360"/>
      </w:pPr>
      <w:rPr>
        <w:rFonts w:ascii="Symbol" w:hAnsi="Symbol" w:hint="default"/>
      </w:rPr>
    </w:lvl>
    <w:lvl w:ilvl="7" w:tplc="35F8DEE4">
      <w:start w:val="1"/>
      <w:numFmt w:val="bullet"/>
      <w:lvlText w:val="o"/>
      <w:lvlJc w:val="left"/>
      <w:pPr>
        <w:ind w:left="6327" w:hanging="360"/>
      </w:pPr>
      <w:rPr>
        <w:rFonts w:ascii="Courier New" w:hAnsi="Courier New" w:cs="Courier New" w:hint="default"/>
      </w:rPr>
    </w:lvl>
    <w:lvl w:ilvl="8" w:tplc="7294F4B2">
      <w:start w:val="1"/>
      <w:numFmt w:val="bullet"/>
      <w:lvlText w:val=""/>
      <w:lvlJc w:val="left"/>
      <w:pPr>
        <w:ind w:left="7047" w:hanging="360"/>
      </w:pPr>
      <w:rPr>
        <w:rFonts w:ascii="Wingdings" w:hAnsi="Wingdings" w:hint="default"/>
      </w:rPr>
    </w:lvl>
  </w:abstractNum>
  <w:abstractNum w:abstractNumId="3" w15:restartNumberingAfterBreak="0">
    <w:nsid w:val="0C432594"/>
    <w:multiLevelType w:val="hybridMultilevel"/>
    <w:tmpl w:val="AC2C9E1C"/>
    <w:lvl w:ilvl="0" w:tplc="29EA59E2">
      <w:start w:val="1"/>
      <w:numFmt w:val="decimal"/>
      <w:lvlText w:val="%1."/>
      <w:lvlJc w:val="left"/>
      <w:pPr>
        <w:ind w:left="720" w:hanging="360"/>
      </w:pPr>
      <w:rPr>
        <w:rFonts w:eastAsia="Calibri" w:hint="default"/>
        <w:color w:val="000000"/>
      </w:rPr>
    </w:lvl>
    <w:lvl w:ilvl="1" w:tplc="AEDCC8D8">
      <w:start w:val="1"/>
      <w:numFmt w:val="lowerLetter"/>
      <w:lvlText w:val="%2."/>
      <w:lvlJc w:val="left"/>
      <w:pPr>
        <w:ind w:left="1440" w:hanging="360"/>
      </w:pPr>
    </w:lvl>
    <w:lvl w:ilvl="2" w:tplc="A5B6B27E">
      <w:start w:val="1"/>
      <w:numFmt w:val="lowerRoman"/>
      <w:lvlText w:val="%3."/>
      <w:lvlJc w:val="right"/>
      <w:pPr>
        <w:ind w:left="2160" w:hanging="180"/>
      </w:pPr>
    </w:lvl>
    <w:lvl w:ilvl="3" w:tplc="2A2C2296">
      <w:start w:val="1"/>
      <w:numFmt w:val="decimal"/>
      <w:lvlText w:val="%4."/>
      <w:lvlJc w:val="left"/>
      <w:pPr>
        <w:ind w:left="2880" w:hanging="360"/>
      </w:pPr>
    </w:lvl>
    <w:lvl w:ilvl="4" w:tplc="3D2ACC5C">
      <w:start w:val="1"/>
      <w:numFmt w:val="lowerLetter"/>
      <w:lvlText w:val="%5."/>
      <w:lvlJc w:val="left"/>
      <w:pPr>
        <w:ind w:left="3600" w:hanging="360"/>
      </w:pPr>
    </w:lvl>
    <w:lvl w:ilvl="5" w:tplc="A0428482">
      <w:start w:val="1"/>
      <w:numFmt w:val="lowerRoman"/>
      <w:lvlText w:val="%6."/>
      <w:lvlJc w:val="right"/>
      <w:pPr>
        <w:ind w:left="4320" w:hanging="180"/>
      </w:pPr>
    </w:lvl>
    <w:lvl w:ilvl="6" w:tplc="07604868">
      <w:start w:val="1"/>
      <w:numFmt w:val="decimal"/>
      <w:lvlText w:val="%7."/>
      <w:lvlJc w:val="left"/>
      <w:pPr>
        <w:ind w:left="5040" w:hanging="360"/>
      </w:pPr>
    </w:lvl>
    <w:lvl w:ilvl="7" w:tplc="0B10A670">
      <w:start w:val="1"/>
      <w:numFmt w:val="lowerLetter"/>
      <w:lvlText w:val="%8."/>
      <w:lvlJc w:val="left"/>
      <w:pPr>
        <w:ind w:left="5760" w:hanging="360"/>
      </w:pPr>
    </w:lvl>
    <w:lvl w:ilvl="8" w:tplc="8C1CB510">
      <w:start w:val="1"/>
      <w:numFmt w:val="lowerRoman"/>
      <w:lvlText w:val="%9."/>
      <w:lvlJc w:val="right"/>
      <w:pPr>
        <w:ind w:left="6480" w:hanging="180"/>
      </w:pPr>
    </w:lvl>
  </w:abstractNum>
  <w:abstractNum w:abstractNumId="4" w15:restartNumberingAfterBreak="0">
    <w:nsid w:val="18D96070"/>
    <w:multiLevelType w:val="hybridMultilevel"/>
    <w:tmpl w:val="C2E208B2"/>
    <w:lvl w:ilvl="0" w:tplc="DF02E7C8">
      <w:start w:val="1"/>
      <w:numFmt w:val="bullet"/>
      <w:lvlText w:val=""/>
      <w:lvlJc w:val="left"/>
      <w:pPr>
        <w:ind w:left="1070" w:hanging="360"/>
      </w:pPr>
      <w:rPr>
        <w:rFonts w:ascii="Symbol" w:hAnsi="Symbol" w:hint="default"/>
      </w:rPr>
    </w:lvl>
    <w:lvl w:ilvl="1" w:tplc="64F80BCC">
      <w:start w:val="1"/>
      <w:numFmt w:val="lowerLetter"/>
      <w:lvlText w:val="%2."/>
      <w:lvlJc w:val="left"/>
      <w:pPr>
        <w:ind w:left="1648" w:hanging="360"/>
      </w:pPr>
    </w:lvl>
    <w:lvl w:ilvl="2" w:tplc="FFA293A4">
      <w:start w:val="1"/>
      <w:numFmt w:val="lowerRoman"/>
      <w:lvlText w:val="%3."/>
      <w:lvlJc w:val="right"/>
      <w:pPr>
        <w:ind w:left="2368" w:hanging="180"/>
      </w:pPr>
    </w:lvl>
    <w:lvl w:ilvl="3" w:tplc="905A6FE8">
      <w:start w:val="1"/>
      <w:numFmt w:val="decimal"/>
      <w:lvlText w:val="%4."/>
      <w:lvlJc w:val="left"/>
      <w:pPr>
        <w:ind w:left="3088" w:hanging="360"/>
      </w:pPr>
    </w:lvl>
    <w:lvl w:ilvl="4" w:tplc="7CECE63E">
      <w:start w:val="1"/>
      <w:numFmt w:val="lowerLetter"/>
      <w:lvlText w:val="%5."/>
      <w:lvlJc w:val="left"/>
      <w:pPr>
        <w:ind w:left="3808" w:hanging="360"/>
      </w:pPr>
    </w:lvl>
    <w:lvl w:ilvl="5" w:tplc="62D268EA">
      <w:start w:val="1"/>
      <w:numFmt w:val="lowerRoman"/>
      <w:lvlText w:val="%6."/>
      <w:lvlJc w:val="right"/>
      <w:pPr>
        <w:ind w:left="4528" w:hanging="180"/>
      </w:pPr>
    </w:lvl>
    <w:lvl w:ilvl="6" w:tplc="75221C1C">
      <w:start w:val="1"/>
      <w:numFmt w:val="decimal"/>
      <w:lvlText w:val="%7."/>
      <w:lvlJc w:val="left"/>
      <w:pPr>
        <w:ind w:left="5248" w:hanging="360"/>
      </w:pPr>
    </w:lvl>
    <w:lvl w:ilvl="7" w:tplc="CD142A90">
      <w:start w:val="1"/>
      <w:numFmt w:val="lowerLetter"/>
      <w:lvlText w:val="%8."/>
      <w:lvlJc w:val="left"/>
      <w:pPr>
        <w:ind w:left="5968" w:hanging="360"/>
      </w:pPr>
    </w:lvl>
    <w:lvl w:ilvl="8" w:tplc="31645662">
      <w:start w:val="1"/>
      <w:numFmt w:val="lowerRoman"/>
      <w:lvlText w:val="%9."/>
      <w:lvlJc w:val="right"/>
      <w:pPr>
        <w:ind w:left="6688" w:hanging="180"/>
      </w:pPr>
    </w:lvl>
  </w:abstractNum>
  <w:abstractNum w:abstractNumId="5" w15:restartNumberingAfterBreak="0">
    <w:nsid w:val="23256A50"/>
    <w:multiLevelType w:val="hybridMultilevel"/>
    <w:tmpl w:val="8E3C0CC0"/>
    <w:lvl w:ilvl="0" w:tplc="816C95A0">
      <w:start w:val="1"/>
      <w:numFmt w:val="bullet"/>
      <w:lvlText w:val=""/>
      <w:lvlJc w:val="left"/>
      <w:pPr>
        <w:ind w:left="1287" w:hanging="360"/>
      </w:pPr>
      <w:rPr>
        <w:rFonts w:ascii="Symbol" w:hAnsi="Symbol" w:hint="default"/>
      </w:rPr>
    </w:lvl>
    <w:lvl w:ilvl="1" w:tplc="A5149108">
      <w:start w:val="1"/>
      <w:numFmt w:val="bullet"/>
      <w:lvlText w:val="o"/>
      <w:lvlJc w:val="left"/>
      <w:pPr>
        <w:ind w:left="2007" w:hanging="360"/>
      </w:pPr>
      <w:rPr>
        <w:rFonts w:ascii="Courier New" w:hAnsi="Courier New" w:cs="Courier New" w:hint="default"/>
      </w:rPr>
    </w:lvl>
    <w:lvl w:ilvl="2" w:tplc="746A743A">
      <w:start w:val="1"/>
      <w:numFmt w:val="bullet"/>
      <w:lvlText w:val=""/>
      <w:lvlJc w:val="left"/>
      <w:pPr>
        <w:ind w:left="2727" w:hanging="360"/>
      </w:pPr>
      <w:rPr>
        <w:rFonts w:ascii="Wingdings" w:hAnsi="Wingdings" w:hint="default"/>
      </w:rPr>
    </w:lvl>
    <w:lvl w:ilvl="3" w:tplc="6F9C35EE">
      <w:start w:val="1"/>
      <w:numFmt w:val="bullet"/>
      <w:lvlText w:val=""/>
      <w:lvlJc w:val="left"/>
      <w:pPr>
        <w:ind w:left="3447" w:hanging="360"/>
      </w:pPr>
      <w:rPr>
        <w:rFonts w:ascii="Symbol" w:hAnsi="Symbol" w:hint="default"/>
      </w:rPr>
    </w:lvl>
    <w:lvl w:ilvl="4" w:tplc="782838FE">
      <w:start w:val="1"/>
      <w:numFmt w:val="bullet"/>
      <w:lvlText w:val="o"/>
      <w:lvlJc w:val="left"/>
      <w:pPr>
        <w:ind w:left="4167" w:hanging="360"/>
      </w:pPr>
      <w:rPr>
        <w:rFonts w:ascii="Courier New" w:hAnsi="Courier New" w:cs="Courier New" w:hint="default"/>
      </w:rPr>
    </w:lvl>
    <w:lvl w:ilvl="5" w:tplc="CDCA66E0">
      <w:start w:val="1"/>
      <w:numFmt w:val="bullet"/>
      <w:lvlText w:val=""/>
      <w:lvlJc w:val="left"/>
      <w:pPr>
        <w:ind w:left="4887" w:hanging="360"/>
      </w:pPr>
      <w:rPr>
        <w:rFonts w:ascii="Wingdings" w:hAnsi="Wingdings" w:hint="default"/>
      </w:rPr>
    </w:lvl>
    <w:lvl w:ilvl="6" w:tplc="29C85C18">
      <w:start w:val="1"/>
      <w:numFmt w:val="bullet"/>
      <w:lvlText w:val=""/>
      <w:lvlJc w:val="left"/>
      <w:pPr>
        <w:ind w:left="5607" w:hanging="360"/>
      </w:pPr>
      <w:rPr>
        <w:rFonts w:ascii="Symbol" w:hAnsi="Symbol" w:hint="default"/>
      </w:rPr>
    </w:lvl>
    <w:lvl w:ilvl="7" w:tplc="6C509632">
      <w:start w:val="1"/>
      <w:numFmt w:val="bullet"/>
      <w:lvlText w:val="o"/>
      <w:lvlJc w:val="left"/>
      <w:pPr>
        <w:ind w:left="6327" w:hanging="360"/>
      </w:pPr>
      <w:rPr>
        <w:rFonts w:ascii="Courier New" w:hAnsi="Courier New" w:cs="Courier New" w:hint="default"/>
      </w:rPr>
    </w:lvl>
    <w:lvl w:ilvl="8" w:tplc="8CBEEB64">
      <w:start w:val="1"/>
      <w:numFmt w:val="bullet"/>
      <w:lvlText w:val=""/>
      <w:lvlJc w:val="left"/>
      <w:pPr>
        <w:ind w:left="7047" w:hanging="360"/>
      </w:pPr>
      <w:rPr>
        <w:rFonts w:ascii="Wingdings" w:hAnsi="Wingdings" w:hint="default"/>
      </w:rPr>
    </w:lvl>
  </w:abstractNum>
  <w:abstractNum w:abstractNumId="6" w15:restartNumberingAfterBreak="0">
    <w:nsid w:val="261B0313"/>
    <w:multiLevelType w:val="hybridMultilevel"/>
    <w:tmpl w:val="37BEE9C4"/>
    <w:lvl w:ilvl="0" w:tplc="CBB68F84">
      <w:start w:val="1"/>
      <w:numFmt w:val="decimal"/>
      <w:lvlText w:val="%1."/>
      <w:lvlJc w:val="left"/>
      <w:pPr>
        <w:ind w:left="1418" w:hanging="360"/>
      </w:pPr>
    </w:lvl>
    <w:lvl w:ilvl="1" w:tplc="338AC1BE">
      <w:start w:val="1"/>
      <w:numFmt w:val="lowerLetter"/>
      <w:lvlText w:val="%2."/>
      <w:lvlJc w:val="left"/>
      <w:pPr>
        <w:ind w:left="2138" w:hanging="360"/>
      </w:pPr>
    </w:lvl>
    <w:lvl w:ilvl="2" w:tplc="44B0A672">
      <w:start w:val="1"/>
      <w:numFmt w:val="lowerRoman"/>
      <w:lvlText w:val="%3."/>
      <w:lvlJc w:val="right"/>
      <w:pPr>
        <w:ind w:left="2858" w:hanging="180"/>
      </w:pPr>
    </w:lvl>
    <w:lvl w:ilvl="3" w:tplc="DAAC8104">
      <w:start w:val="1"/>
      <w:numFmt w:val="decimal"/>
      <w:lvlText w:val="%4."/>
      <w:lvlJc w:val="left"/>
      <w:pPr>
        <w:ind w:left="3578" w:hanging="360"/>
      </w:pPr>
    </w:lvl>
    <w:lvl w:ilvl="4" w:tplc="D93EBF96">
      <w:start w:val="1"/>
      <w:numFmt w:val="lowerLetter"/>
      <w:lvlText w:val="%5."/>
      <w:lvlJc w:val="left"/>
      <w:pPr>
        <w:ind w:left="4298" w:hanging="360"/>
      </w:pPr>
    </w:lvl>
    <w:lvl w:ilvl="5" w:tplc="4FE436FC">
      <w:start w:val="1"/>
      <w:numFmt w:val="lowerRoman"/>
      <w:lvlText w:val="%6."/>
      <w:lvlJc w:val="right"/>
      <w:pPr>
        <w:ind w:left="5018" w:hanging="180"/>
      </w:pPr>
    </w:lvl>
    <w:lvl w:ilvl="6" w:tplc="C5169390">
      <w:start w:val="1"/>
      <w:numFmt w:val="decimal"/>
      <w:lvlText w:val="%7."/>
      <w:lvlJc w:val="left"/>
      <w:pPr>
        <w:ind w:left="5738" w:hanging="360"/>
      </w:pPr>
    </w:lvl>
    <w:lvl w:ilvl="7" w:tplc="84949912">
      <w:start w:val="1"/>
      <w:numFmt w:val="lowerLetter"/>
      <w:lvlText w:val="%8."/>
      <w:lvlJc w:val="left"/>
      <w:pPr>
        <w:ind w:left="6458" w:hanging="360"/>
      </w:pPr>
    </w:lvl>
    <w:lvl w:ilvl="8" w:tplc="EB06D138">
      <w:start w:val="1"/>
      <w:numFmt w:val="lowerRoman"/>
      <w:lvlText w:val="%9."/>
      <w:lvlJc w:val="right"/>
      <w:pPr>
        <w:ind w:left="7178" w:hanging="180"/>
      </w:pPr>
    </w:lvl>
  </w:abstractNum>
  <w:abstractNum w:abstractNumId="7" w15:restartNumberingAfterBreak="0">
    <w:nsid w:val="29696275"/>
    <w:multiLevelType w:val="hybridMultilevel"/>
    <w:tmpl w:val="F6084B3A"/>
    <w:lvl w:ilvl="0" w:tplc="48F09572">
      <w:start w:val="1"/>
      <w:numFmt w:val="decimal"/>
      <w:lvlText w:val="%1."/>
      <w:lvlJc w:val="left"/>
      <w:pPr>
        <w:ind w:left="720" w:hanging="360"/>
      </w:pPr>
      <w:rPr>
        <w:rFonts w:hint="default"/>
      </w:rPr>
    </w:lvl>
    <w:lvl w:ilvl="1" w:tplc="A5508AB2">
      <w:start w:val="1"/>
      <w:numFmt w:val="lowerLetter"/>
      <w:lvlText w:val="%2."/>
      <w:lvlJc w:val="left"/>
      <w:pPr>
        <w:ind w:left="1440" w:hanging="360"/>
      </w:pPr>
    </w:lvl>
    <w:lvl w:ilvl="2" w:tplc="6A0E1DA6">
      <w:start w:val="1"/>
      <w:numFmt w:val="lowerRoman"/>
      <w:lvlText w:val="%3."/>
      <w:lvlJc w:val="right"/>
      <w:pPr>
        <w:ind w:left="2160" w:hanging="180"/>
      </w:pPr>
    </w:lvl>
    <w:lvl w:ilvl="3" w:tplc="F4D2D8A6">
      <w:start w:val="1"/>
      <w:numFmt w:val="decimal"/>
      <w:lvlText w:val="%4."/>
      <w:lvlJc w:val="left"/>
      <w:pPr>
        <w:ind w:left="2880" w:hanging="360"/>
      </w:pPr>
    </w:lvl>
    <w:lvl w:ilvl="4" w:tplc="176847A4">
      <w:start w:val="1"/>
      <w:numFmt w:val="lowerLetter"/>
      <w:lvlText w:val="%5."/>
      <w:lvlJc w:val="left"/>
      <w:pPr>
        <w:ind w:left="3600" w:hanging="360"/>
      </w:pPr>
    </w:lvl>
    <w:lvl w:ilvl="5" w:tplc="D3C269F8">
      <w:start w:val="1"/>
      <w:numFmt w:val="lowerRoman"/>
      <w:lvlText w:val="%6."/>
      <w:lvlJc w:val="right"/>
      <w:pPr>
        <w:ind w:left="4320" w:hanging="180"/>
      </w:pPr>
    </w:lvl>
    <w:lvl w:ilvl="6" w:tplc="E8CC6AB4">
      <w:start w:val="1"/>
      <w:numFmt w:val="decimal"/>
      <w:lvlText w:val="%7."/>
      <w:lvlJc w:val="left"/>
      <w:pPr>
        <w:ind w:left="5040" w:hanging="360"/>
      </w:pPr>
    </w:lvl>
    <w:lvl w:ilvl="7" w:tplc="EA1827FA">
      <w:start w:val="1"/>
      <w:numFmt w:val="lowerLetter"/>
      <w:lvlText w:val="%8."/>
      <w:lvlJc w:val="left"/>
      <w:pPr>
        <w:ind w:left="5760" w:hanging="360"/>
      </w:pPr>
    </w:lvl>
    <w:lvl w:ilvl="8" w:tplc="F02C49F8">
      <w:start w:val="1"/>
      <w:numFmt w:val="lowerRoman"/>
      <w:lvlText w:val="%9."/>
      <w:lvlJc w:val="right"/>
      <w:pPr>
        <w:ind w:left="6480" w:hanging="180"/>
      </w:pPr>
    </w:lvl>
  </w:abstractNum>
  <w:abstractNum w:abstractNumId="8" w15:restartNumberingAfterBreak="0">
    <w:nsid w:val="2D51438F"/>
    <w:multiLevelType w:val="hybridMultilevel"/>
    <w:tmpl w:val="1896732C"/>
    <w:lvl w:ilvl="0" w:tplc="D386583E">
      <w:start w:val="1"/>
      <w:numFmt w:val="bullet"/>
      <w:lvlText w:val=""/>
      <w:lvlJc w:val="left"/>
      <w:pPr>
        <w:ind w:left="1429" w:hanging="360"/>
      </w:pPr>
      <w:rPr>
        <w:rFonts w:ascii="Symbol" w:hAnsi="Symbol" w:hint="default"/>
      </w:rPr>
    </w:lvl>
    <w:lvl w:ilvl="1" w:tplc="97900E00">
      <w:start w:val="1"/>
      <w:numFmt w:val="bullet"/>
      <w:lvlText w:val="o"/>
      <w:lvlJc w:val="left"/>
      <w:pPr>
        <w:ind w:left="2149" w:hanging="360"/>
      </w:pPr>
      <w:rPr>
        <w:rFonts w:ascii="Courier New" w:hAnsi="Courier New" w:cs="Courier New" w:hint="default"/>
      </w:rPr>
    </w:lvl>
    <w:lvl w:ilvl="2" w:tplc="648CC174">
      <w:start w:val="1"/>
      <w:numFmt w:val="bullet"/>
      <w:lvlText w:val=""/>
      <w:lvlJc w:val="left"/>
      <w:pPr>
        <w:ind w:left="2869" w:hanging="360"/>
      </w:pPr>
      <w:rPr>
        <w:rFonts w:ascii="Wingdings" w:hAnsi="Wingdings" w:hint="default"/>
      </w:rPr>
    </w:lvl>
    <w:lvl w:ilvl="3" w:tplc="1DC8CB46">
      <w:start w:val="1"/>
      <w:numFmt w:val="bullet"/>
      <w:lvlText w:val=""/>
      <w:lvlJc w:val="left"/>
      <w:pPr>
        <w:ind w:left="3589" w:hanging="360"/>
      </w:pPr>
      <w:rPr>
        <w:rFonts w:ascii="Symbol" w:hAnsi="Symbol" w:hint="default"/>
      </w:rPr>
    </w:lvl>
    <w:lvl w:ilvl="4" w:tplc="C940324C">
      <w:start w:val="1"/>
      <w:numFmt w:val="bullet"/>
      <w:lvlText w:val="o"/>
      <w:lvlJc w:val="left"/>
      <w:pPr>
        <w:ind w:left="4309" w:hanging="360"/>
      </w:pPr>
      <w:rPr>
        <w:rFonts w:ascii="Courier New" w:hAnsi="Courier New" w:cs="Courier New" w:hint="default"/>
      </w:rPr>
    </w:lvl>
    <w:lvl w:ilvl="5" w:tplc="1C6E07C4">
      <w:start w:val="1"/>
      <w:numFmt w:val="bullet"/>
      <w:lvlText w:val=""/>
      <w:lvlJc w:val="left"/>
      <w:pPr>
        <w:ind w:left="5029" w:hanging="360"/>
      </w:pPr>
      <w:rPr>
        <w:rFonts w:ascii="Wingdings" w:hAnsi="Wingdings" w:hint="default"/>
      </w:rPr>
    </w:lvl>
    <w:lvl w:ilvl="6" w:tplc="352AE178">
      <w:start w:val="1"/>
      <w:numFmt w:val="bullet"/>
      <w:lvlText w:val=""/>
      <w:lvlJc w:val="left"/>
      <w:pPr>
        <w:ind w:left="5749" w:hanging="360"/>
      </w:pPr>
      <w:rPr>
        <w:rFonts w:ascii="Symbol" w:hAnsi="Symbol" w:hint="default"/>
      </w:rPr>
    </w:lvl>
    <w:lvl w:ilvl="7" w:tplc="4F027B78">
      <w:start w:val="1"/>
      <w:numFmt w:val="bullet"/>
      <w:lvlText w:val="o"/>
      <w:lvlJc w:val="left"/>
      <w:pPr>
        <w:ind w:left="6469" w:hanging="360"/>
      </w:pPr>
      <w:rPr>
        <w:rFonts w:ascii="Courier New" w:hAnsi="Courier New" w:cs="Courier New" w:hint="default"/>
      </w:rPr>
    </w:lvl>
    <w:lvl w:ilvl="8" w:tplc="51F210AC">
      <w:start w:val="1"/>
      <w:numFmt w:val="bullet"/>
      <w:lvlText w:val=""/>
      <w:lvlJc w:val="left"/>
      <w:pPr>
        <w:ind w:left="7189" w:hanging="360"/>
      </w:pPr>
      <w:rPr>
        <w:rFonts w:ascii="Wingdings" w:hAnsi="Wingdings" w:hint="default"/>
      </w:rPr>
    </w:lvl>
  </w:abstractNum>
  <w:abstractNum w:abstractNumId="9" w15:restartNumberingAfterBreak="0">
    <w:nsid w:val="31942800"/>
    <w:multiLevelType w:val="hybridMultilevel"/>
    <w:tmpl w:val="68D07C0A"/>
    <w:lvl w:ilvl="0" w:tplc="EAF8C532">
      <w:start w:val="1"/>
      <w:numFmt w:val="bullet"/>
      <w:pStyle w:val="a"/>
      <w:lvlText w:val=""/>
      <w:lvlJc w:val="left"/>
      <w:pPr>
        <w:tabs>
          <w:tab w:val="num" w:pos="360"/>
        </w:tabs>
        <w:ind w:left="360" w:hanging="360"/>
      </w:pPr>
      <w:rPr>
        <w:rFonts w:ascii="Symbol" w:hAnsi="Symbol" w:hint="default"/>
      </w:rPr>
    </w:lvl>
    <w:lvl w:ilvl="1" w:tplc="C840CA08">
      <w:start w:val="1"/>
      <w:numFmt w:val="bullet"/>
      <w:lvlText w:val="o"/>
      <w:lvlJc w:val="left"/>
      <w:pPr>
        <w:ind w:left="1440" w:hanging="360"/>
      </w:pPr>
      <w:rPr>
        <w:rFonts w:ascii="Courier New" w:eastAsia="Courier New" w:hAnsi="Courier New" w:cs="Courier New" w:hint="default"/>
      </w:rPr>
    </w:lvl>
    <w:lvl w:ilvl="2" w:tplc="37FACC3A">
      <w:start w:val="1"/>
      <w:numFmt w:val="bullet"/>
      <w:lvlText w:val="§"/>
      <w:lvlJc w:val="left"/>
      <w:pPr>
        <w:ind w:left="2160" w:hanging="360"/>
      </w:pPr>
      <w:rPr>
        <w:rFonts w:ascii="Wingdings" w:eastAsia="Wingdings" w:hAnsi="Wingdings" w:cs="Wingdings" w:hint="default"/>
      </w:rPr>
    </w:lvl>
    <w:lvl w:ilvl="3" w:tplc="5896FE36">
      <w:start w:val="1"/>
      <w:numFmt w:val="bullet"/>
      <w:lvlText w:val="·"/>
      <w:lvlJc w:val="left"/>
      <w:pPr>
        <w:ind w:left="2880" w:hanging="360"/>
      </w:pPr>
      <w:rPr>
        <w:rFonts w:ascii="Symbol" w:eastAsia="Symbol" w:hAnsi="Symbol" w:cs="Symbol" w:hint="default"/>
      </w:rPr>
    </w:lvl>
    <w:lvl w:ilvl="4" w:tplc="10C48B0E">
      <w:start w:val="1"/>
      <w:numFmt w:val="bullet"/>
      <w:lvlText w:val="o"/>
      <w:lvlJc w:val="left"/>
      <w:pPr>
        <w:ind w:left="3600" w:hanging="360"/>
      </w:pPr>
      <w:rPr>
        <w:rFonts w:ascii="Courier New" w:eastAsia="Courier New" w:hAnsi="Courier New" w:cs="Courier New" w:hint="default"/>
      </w:rPr>
    </w:lvl>
    <w:lvl w:ilvl="5" w:tplc="3FF286C8">
      <w:start w:val="1"/>
      <w:numFmt w:val="bullet"/>
      <w:lvlText w:val="§"/>
      <w:lvlJc w:val="left"/>
      <w:pPr>
        <w:ind w:left="4320" w:hanging="360"/>
      </w:pPr>
      <w:rPr>
        <w:rFonts w:ascii="Wingdings" w:eastAsia="Wingdings" w:hAnsi="Wingdings" w:cs="Wingdings" w:hint="default"/>
      </w:rPr>
    </w:lvl>
    <w:lvl w:ilvl="6" w:tplc="094AC6EC">
      <w:start w:val="1"/>
      <w:numFmt w:val="bullet"/>
      <w:lvlText w:val="·"/>
      <w:lvlJc w:val="left"/>
      <w:pPr>
        <w:ind w:left="5040" w:hanging="360"/>
      </w:pPr>
      <w:rPr>
        <w:rFonts w:ascii="Symbol" w:eastAsia="Symbol" w:hAnsi="Symbol" w:cs="Symbol" w:hint="default"/>
      </w:rPr>
    </w:lvl>
    <w:lvl w:ilvl="7" w:tplc="D8084700">
      <w:start w:val="1"/>
      <w:numFmt w:val="bullet"/>
      <w:lvlText w:val="o"/>
      <w:lvlJc w:val="left"/>
      <w:pPr>
        <w:ind w:left="5760" w:hanging="360"/>
      </w:pPr>
      <w:rPr>
        <w:rFonts w:ascii="Courier New" w:eastAsia="Courier New" w:hAnsi="Courier New" w:cs="Courier New" w:hint="default"/>
      </w:rPr>
    </w:lvl>
    <w:lvl w:ilvl="8" w:tplc="50AAF5E6">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3353225F"/>
    <w:multiLevelType w:val="hybridMultilevel"/>
    <w:tmpl w:val="961678AC"/>
    <w:lvl w:ilvl="0" w:tplc="D6667FF2">
      <w:start w:val="1"/>
      <w:numFmt w:val="decimal"/>
      <w:lvlText w:val="%1."/>
      <w:lvlJc w:val="left"/>
      <w:pPr>
        <w:ind w:left="720" w:hanging="360"/>
      </w:pPr>
      <w:rPr>
        <w:rFonts w:eastAsia="Calibri" w:hint="default"/>
        <w:color w:val="000000"/>
      </w:rPr>
    </w:lvl>
    <w:lvl w:ilvl="1" w:tplc="D2C6951E">
      <w:start w:val="1"/>
      <w:numFmt w:val="lowerLetter"/>
      <w:lvlText w:val="%2."/>
      <w:lvlJc w:val="left"/>
      <w:pPr>
        <w:ind w:left="1440" w:hanging="360"/>
      </w:pPr>
    </w:lvl>
    <w:lvl w:ilvl="2" w:tplc="09CAF6EE">
      <w:start w:val="1"/>
      <w:numFmt w:val="lowerRoman"/>
      <w:lvlText w:val="%3."/>
      <w:lvlJc w:val="right"/>
      <w:pPr>
        <w:ind w:left="2160" w:hanging="180"/>
      </w:pPr>
    </w:lvl>
    <w:lvl w:ilvl="3" w:tplc="B2CA6B70">
      <w:start w:val="1"/>
      <w:numFmt w:val="decimal"/>
      <w:lvlText w:val="%4."/>
      <w:lvlJc w:val="left"/>
      <w:pPr>
        <w:ind w:left="2880" w:hanging="360"/>
      </w:pPr>
    </w:lvl>
    <w:lvl w:ilvl="4" w:tplc="2362C1EC">
      <w:start w:val="1"/>
      <w:numFmt w:val="lowerLetter"/>
      <w:lvlText w:val="%5."/>
      <w:lvlJc w:val="left"/>
      <w:pPr>
        <w:ind w:left="3600" w:hanging="360"/>
      </w:pPr>
    </w:lvl>
    <w:lvl w:ilvl="5" w:tplc="0F86EB1E">
      <w:start w:val="1"/>
      <w:numFmt w:val="lowerRoman"/>
      <w:lvlText w:val="%6."/>
      <w:lvlJc w:val="right"/>
      <w:pPr>
        <w:ind w:left="4320" w:hanging="180"/>
      </w:pPr>
    </w:lvl>
    <w:lvl w:ilvl="6" w:tplc="A61E4620">
      <w:start w:val="1"/>
      <w:numFmt w:val="decimal"/>
      <w:lvlText w:val="%7."/>
      <w:lvlJc w:val="left"/>
      <w:pPr>
        <w:ind w:left="5040" w:hanging="360"/>
      </w:pPr>
    </w:lvl>
    <w:lvl w:ilvl="7" w:tplc="B7AE23A0">
      <w:start w:val="1"/>
      <w:numFmt w:val="lowerLetter"/>
      <w:lvlText w:val="%8."/>
      <w:lvlJc w:val="left"/>
      <w:pPr>
        <w:ind w:left="5760" w:hanging="360"/>
      </w:pPr>
    </w:lvl>
    <w:lvl w:ilvl="8" w:tplc="1B26079C">
      <w:start w:val="1"/>
      <w:numFmt w:val="lowerRoman"/>
      <w:lvlText w:val="%9."/>
      <w:lvlJc w:val="right"/>
      <w:pPr>
        <w:ind w:left="6480" w:hanging="180"/>
      </w:pPr>
    </w:lvl>
  </w:abstractNum>
  <w:abstractNum w:abstractNumId="11" w15:restartNumberingAfterBreak="0">
    <w:nsid w:val="4370579B"/>
    <w:multiLevelType w:val="hybridMultilevel"/>
    <w:tmpl w:val="1E0055F0"/>
    <w:lvl w:ilvl="0" w:tplc="297CF006">
      <w:start w:val="1"/>
      <w:numFmt w:val="decimal"/>
      <w:lvlText w:val="%1."/>
      <w:lvlJc w:val="left"/>
      <w:pPr>
        <w:ind w:left="720" w:hanging="360"/>
      </w:pPr>
      <w:rPr>
        <w:rFonts w:hint="default"/>
      </w:rPr>
    </w:lvl>
    <w:lvl w:ilvl="1" w:tplc="BE4AC11A">
      <w:start w:val="1"/>
      <w:numFmt w:val="lowerLetter"/>
      <w:lvlText w:val="%2."/>
      <w:lvlJc w:val="left"/>
      <w:pPr>
        <w:ind w:left="1440" w:hanging="360"/>
      </w:pPr>
    </w:lvl>
    <w:lvl w:ilvl="2" w:tplc="806059A6">
      <w:start w:val="1"/>
      <w:numFmt w:val="lowerRoman"/>
      <w:lvlText w:val="%3."/>
      <w:lvlJc w:val="right"/>
      <w:pPr>
        <w:ind w:left="2160" w:hanging="180"/>
      </w:pPr>
    </w:lvl>
    <w:lvl w:ilvl="3" w:tplc="A39052C2">
      <w:start w:val="1"/>
      <w:numFmt w:val="decimal"/>
      <w:lvlText w:val="%4."/>
      <w:lvlJc w:val="left"/>
      <w:pPr>
        <w:ind w:left="2880" w:hanging="360"/>
      </w:pPr>
    </w:lvl>
    <w:lvl w:ilvl="4" w:tplc="356027FA">
      <w:start w:val="1"/>
      <w:numFmt w:val="lowerLetter"/>
      <w:lvlText w:val="%5."/>
      <w:lvlJc w:val="left"/>
      <w:pPr>
        <w:ind w:left="3600" w:hanging="360"/>
      </w:pPr>
    </w:lvl>
    <w:lvl w:ilvl="5" w:tplc="30266E38">
      <w:start w:val="1"/>
      <w:numFmt w:val="lowerRoman"/>
      <w:lvlText w:val="%6."/>
      <w:lvlJc w:val="right"/>
      <w:pPr>
        <w:ind w:left="4320" w:hanging="180"/>
      </w:pPr>
    </w:lvl>
    <w:lvl w:ilvl="6" w:tplc="E2961CDC">
      <w:start w:val="1"/>
      <w:numFmt w:val="decimal"/>
      <w:lvlText w:val="%7."/>
      <w:lvlJc w:val="left"/>
      <w:pPr>
        <w:ind w:left="5040" w:hanging="360"/>
      </w:pPr>
    </w:lvl>
    <w:lvl w:ilvl="7" w:tplc="A8741C60">
      <w:start w:val="1"/>
      <w:numFmt w:val="lowerLetter"/>
      <w:lvlText w:val="%8."/>
      <w:lvlJc w:val="left"/>
      <w:pPr>
        <w:ind w:left="5760" w:hanging="360"/>
      </w:pPr>
    </w:lvl>
    <w:lvl w:ilvl="8" w:tplc="EF6ECD6A">
      <w:start w:val="1"/>
      <w:numFmt w:val="lowerRoman"/>
      <w:lvlText w:val="%9."/>
      <w:lvlJc w:val="right"/>
      <w:pPr>
        <w:ind w:left="6480" w:hanging="180"/>
      </w:pPr>
    </w:lvl>
  </w:abstractNum>
  <w:abstractNum w:abstractNumId="12" w15:restartNumberingAfterBreak="0">
    <w:nsid w:val="5392463D"/>
    <w:multiLevelType w:val="hybridMultilevel"/>
    <w:tmpl w:val="914A6CE0"/>
    <w:lvl w:ilvl="0" w:tplc="58E0EBF0">
      <w:start w:val="1"/>
      <w:numFmt w:val="bullet"/>
      <w:lvlText w:val=""/>
      <w:lvlJc w:val="left"/>
      <w:pPr>
        <w:ind w:left="1080" w:hanging="360"/>
      </w:pPr>
      <w:rPr>
        <w:rFonts w:ascii="Symbol" w:hAnsi="Symbol" w:hint="default"/>
      </w:rPr>
    </w:lvl>
    <w:lvl w:ilvl="1" w:tplc="ECC831F0">
      <w:start w:val="1"/>
      <w:numFmt w:val="bullet"/>
      <w:lvlText w:val="o"/>
      <w:lvlJc w:val="left"/>
      <w:pPr>
        <w:ind w:left="1800" w:hanging="360"/>
      </w:pPr>
      <w:rPr>
        <w:rFonts w:ascii="Courier New" w:hAnsi="Courier New" w:cs="Courier New" w:hint="default"/>
      </w:rPr>
    </w:lvl>
    <w:lvl w:ilvl="2" w:tplc="202A6B9A">
      <w:start w:val="1"/>
      <w:numFmt w:val="bullet"/>
      <w:lvlText w:val=""/>
      <w:lvlJc w:val="left"/>
      <w:pPr>
        <w:ind w:left="2520" w:hanging="360"/>
      </w:pPr>
      <w:rPr>
        <w:rFonts w:ascii="Wingdings" w:hAnsi="Wingdings" w:hint="default"/>
      </w:rPr>
    </w:lvl>
    <w:lvl w:ilvl="3" w:tplc="549404A4">
      <w:start w:val="1"/>
      <w:numFmt w:val="bullet"/>
      <w:lvlText w:val=""/>
      <w:lvlJc w:val="left"/>
      <w:pPr>
        <w:ind w:left="3240" w:hanging="360"/>
      </w:pPr>
      <w:rPr>
        <w:rFonts w:ascii="Symbol" w:hAnsi="Symbol" w:hint="default"/>
      </w:rPr>
    </w:lvl>
    <w:lvl w:ilvl="4" w:tplc="74E290D2">
      <w:start w:val="1"/>
      <w:numFmt w:val="bullet"/>
      <w:lvlText w:val="o"/>
      <w:lvlJc w:val="left"/>
      <w:pPr>
        <w:ind w:left="3960" w:hanging="360"/>
      </w:pPr>
      <w:rPr>
        <w:rFonts w:ascii="Courier New" w:hAnsi="Courier New" w:cs="Courier New" w:hint="default"/>
      </w:rPr>
    </w:lvl>
    <w:lvl w:ilvl="5" w:tplc="706C3F58">
      <w:start w:val="1"/>
      <w:numFmt w:val="bullet"/>
      <w:lvlText w:val=""/>
      <w:lvlJc w:val="left"/>
      <w:pPr>
        <w:ind w:left="4680" w:hanging="360"/>
      </w:pPr>
      <w:rPr>
        <w:rFonts w:ascii="Wingdings" w:hAnsi="Wingdings" w:hint="default"/>
      </w:rPr>
    </w:lvl>
    <w:lvl w:ilvl="6" w:tplc="A274CC66">
      <w:start w:val="1"/>
      <w:numFmt w:val="bullet"/>
      <w:lvlText w:val=""/>
      <w:lvlJc w:val="left"/>
      <w:pPr>
        <w:ind w:left="5400" w:hanging="360"/>
      </w:pPr>
      <w:rPr>
        <w:rFonts w:ascii="Symbol" w:hAnsi="Symbol" w:hint="default"/>
      </w:rPr>
    </w:lvl>
    <w:lvl w:ilvl="7" w:tplc="0284CF32">
      <w:start w:val="1"/>
      <w:numFmt w:val="bullet"/>
      <w:lvlText w:val="o"/>
      <w:lvlJc w:val="left"/>
      <w:pPr>
        <w:ind w:left="6120" w:hanging="360"/>
      </w:pPr>
      <w:rPr>
        <w:rFonts w:ascii="Courier New" w:hAnsi="Courier New" w:cs="Courier New" w:hint="default"/>
      </w:rPr>
    </w:lvl>
    <w:lvl w:ilvl="8" w:tplc="714A9BF0">
      <w:start w:val="1"/>
      <w:numFmt w:val="bullet"/>
      <w:lvlText w:val=""/>
      <w:lvlJc w:val="left"/>
      <w:pPr>
        <w:ind w:left="6840" w:hanging="360"/>
      </w:pPr>
      <w:rPr>
        <w:rFonts w:ascii="Wingdings" w:hAnsi="Wingdings" w:hint="default"/>
      </w:rPr>
    </w:lvl>
  </w:abstractNum>
  <w:abstractNum w:abstractNumId="13" w15:restartNumberingAfterBreak="0">
    <w:nsid w:val="59EF742C"/>
    <w:multiLevelType w:val="hybridMultilevel"/>
    <w:tmpl w:val="F904CD36"/>
    <w:lvl w:ilvl="0" w:tplc="05501EA0">
      <w:start w:val="1"/>
      <w:numFmt w:val="bullet"/>
      <w:lvlText w:val=""/>
      <w:lvlJc w:val="left"/>
      <w:pPr>
        <w:ind w:left="1429" w:hanging="360"/>
      </w:pPr>
      <w:rPr>
        <w:rFonts w:ascii="Symbol" w:hAnsi="Symbol" w:hint="default"/>
      </w:rPr>
    </w:lvl>
    <w:lvl w:ilvl="1" w:tplc="6A141002">
      <w:start w:val="1"/>
      <w:numFmt w:val="bullet"/>
      <w:lvlText w:val="o"/>
      <w:lvlJc w:val="left"/>
      <w:pPr>
        <w:ind w:left="2149" w:hanging="360"/>
      </w:pPr>
      <w:rPr>
        <w:rFonts w:ascii="Courier New" w:hAnsi="Courier New" w:cs="Courier New" w:hint="default"/>
      </w:rPr>
    </w:lvl>
    <w:lvl w:ilvl="2" w:tplc="5A92195E">
      <w:start w:val="1"/>
      <w:numFmt w:val="bullet"/>
      <w:lvlText w:val=""/>
      <w:lvlJc w:val="left"/>
      <w:pPr>
        <w:ind w:left="2869" w:hanging="360"/>
      </w:pPr>
      <w:rPr>
        <w:rFonts w:ascii="Wingdings" w:hAnsi="Wingdings" w:hint="default"/>
      </w:rPr>
    </w:lvl>
    <w:lvl w:ilvl="3" w:tplc="989E4B2C">
      <w:start w:val="1"/>
      <w:numFmt w:val="bullet"/>
      <w:lvlText w:val=""/>
      <w:lvlJc w:val="left"/>
      <w:pPr>
        <w:ind w:left="3589" w:hanging="360"/>
      </w:pPr>
      <w:rPr>
        <w:rFonts w:ascii="Symbol" w:hAnsi="Symbol" w:hint="default"/>
      </w:rPr>
    </w:lvl>
    <w:lvl w:ilvl="4" w:tplc="3640B16A">
      <w:start w:val="1"/>
      <w:numFmt w:val="bullet"/>
      <w:lvlText w:val="o"/>
      <w:lvlJc w:val="left"/>
      <w:pPr>
        <w:ind w:left="4309" w:hanging="360"/>
      </w:pPr>
      <w:rPr>
        <w:rFonts w:ascii="Courier New" w:hAnsi="Courier New" w:cs="Courier New" w:hint="default"/>
      </w:rPr>
    </w:lvl>
    <w:lvl w:ilvl="5" w:tplc="E39A11CC">
      <w:start w:val="1"/>
      <w:numFmt w:val="bullet"/>
      <w:lvlText w:val=""/>
      <w:lvlJc w:val="left"/>
      <w:pPr>
        <w:ind w:left="5029" w:hanging="360"/>
      </w:pPr>
      <w:rPr>
        <w:rFonts w:ascii="Wingdings" w:hAnsi="Wingdings" w:hint="default"/>
      </w:rPr>
    </w:lvl>
    <w:lvl w:ilvl="6" w:tplc="0BD44448">
      <w:start w:val="1"/>
      <w:numFmt w:val="bullet"/>
      <w:lvlText w:val=""/>
      <w:lvlJc w:val="left"/>
      <w:pPr>
        <w:ind w:left="5749" w:hanging="360"/>
      </w:pPr>
      <w:rPr>
        <w:rFonts w:ascii="Symbol" w:hAnsi="Symbol" w:hint="default"/>
      </w:rPr>
    </w:lvl>
    <w:lvl w:ilvl="7" w:tplc="D5DCD0DE">
      <w:start w:val="1"/>
      <w:numFmt w:val="bullet"/>
      <w:lvlText w:val="o"/>
      <w:lvlJc w:val="left"/>
      <w:pPr>
        <w:ind w:left="6469" w:hanging="360"/>
      </w:pPr>
      <w:rPr>
        <w:rFonts w:ascii="Courier New" w:hAnsi="Courier New" w:cs="Courier New" w:hint="default"/>
      </w:rPr>
    </w:lvl>
    <w:lvl w:ilvl="8" w:tplc="877875CA">
      <w:start w:val="1"/>
      <w:numFmt w:val="bullet"/>
      <w:lvlText w:val=""/>
      <w:lvlJc w:val="left"/>
      <w:pPr>
        <w:ind w:left="7189" w:hanging="360"/>
      </w:pPr>
      <w:rPr>
        <w:rFonts w:ascii="Wingdings" w:hAnsi="Wingdings" w:hint="default"/>
      </w:rPr>
    </w:lvl>
  </w:abstractNum>
  <w:abstractNum w:abstractNumId="14" w15:restartNumberingAfterBreak="0">
    <w:nsid w:val="67F03D71"/>
    <w:multiLevelType w:val="hybridMultilevel"/>
    <w:tmpl w:val="8E28048E"/>
    <w:lvl w:ilvl="0" w:tplc="26FC1EB0">
      <w:start w:val="1"/>
      <w:numFmt w:val="bullet"/>
      <w:lvlText w:val=""/>
      <w:lvlJc w:val="left"/>
      <w:pPr>
        <w:ind w:left="720" w:hanging="360"/>
      </w:pPr>
      <w:rPr>
        <w:rFonts w:ascii="Symbol" w:hAnsi="Symbol" w:hint="default"/>
      </w:rPr>
    </w:lvl>
    <w:lvl w:ilvl="1" w:tplc="B8A056EE">
      <w:start w:val="1"/>
      <w:numFmt w:val="bullet"/>
      <w:lvlText w:val="o"/>
      <w:lvlJc w:val="left"/>
      <w:pPr>
        <w:ind w:left="1440" w:hanging="360"/>
      </w:pPr>
      <w:rPr>
        <w:rFonts w:ascii="Courier New" w:hAnsi="Courier New" w:cs="Courier New" w:hint="default"/>
      </w:rPr>
    </w:lvl>
    <w:lvl w:ilvl="2" w:tplc="6B2C0086">
      <w:start w:val="1"/>
      <w:numFmt w:val="bullet"/>
      <w:lvlText w:val=""/>
      <w:lvlJc w:val="left"/>
      <w:pPr>
        <w:ind w:left="2160" w:hanging="360"/>
      </w:pPr>
      <w:rPr>
        <w:rFonts w:ascii="Wingdings" w:hAnsi="Wingdings" w:hint="default"/>
      </w:rPr>
    </w:lvl>
    <w:lvl w:ilvl="3" w:tplc="7ACAF5FA">
      <w:start w:val="1"/>
      <w:numFmt w:val="bullet"/>
      <w:lvlText w:val=""/>
      <w:lvlJc w:val="left"/>
      <w:pPr>
        <w:ind w:left="2880" w:hanging="360"/>
      </w:pPr>
      <w:rPr>
        <w:rFonts w:ascii="Symbol" w:hAnsi="Symbol" w:hint="default"/>
      </w:rPr>
    </w:lvl>
    <w:lvl w:ilvl="4" w:tplc="0ACEC034">
      <w:start w:val="1"/>
      <w:numFmt w:val="bullet"/>
      <w:lvlText w:val="o"/>
      <w:lvlJc w:val="left"/>
      <w:pPr>
        <w:ind w:left="3600" w:hanging="360"/>
      </w:pPr>
      <w:rPr>
        <w:rFonts w:ascii="Courier New" w:hAnsi="Courier New" w:cs="Courier New" w:hint="default"/>
      </w:rPr>
    </w:lvl>
    <w:lvl w:ilvl="5" w:tplc="379E249C">
      <w:start w:val="1"/>
      <w:numFmt w:val="bullet"/>
      <w:lvlText w:val=""/>
      <w:lvlJc w:val="left"/>
      <w:pPr>
        <w:ind w:left="4320" w:hanging="360"/>
      </w:pPr>
      <w:rPr>
        <w:rFonts w:ascii="Wingdings" w:hAnsi="Wingdings" w:hint="default"/>
      </w:rPr>
    </w:lvl>
    <w:lvl w:ilvl="6" w:tplc="B61CD4F6">
      <w:start w:val="1"/>
      <w:numFmt w:val="bullet"/>
      <w:lvlText w:val=""/>
      <w:lvlJc w:val="left"/>
      <w:pPr>
        <w:ind w:left="5040" w:hanging="360"/>
      </w:pPr>
      <w:rPr>
        <w:rFonts w:ascii="Symbol" w:hAnsi="Symbol" w:hint="default"/>
      </w:rPr>
    </w:lvl>
    <w:lvl w:ilvl="7" w:tplc="A170B7F4">
      <w:start w:val="1"/>
      <w:numFmt w:val="bullet"/>
      <w:lvlText w:val="o"/>
      <w:lvlJc w:val="left"/>
      <w:pPr>
        <w:ind w:left="5760" w:hanging="360"/>
      </w:pPr>
      <w:rPr>
        <w:rFonts w:ascii="Courier New" w:hAnsi="Courier New" w:cs="Courier New" w:hint="default"/>
      </w:rPr>
    </w:lvl>
    <w:lvl w:ilvl="8" w:tplc="A6045492">
      <w:start w:val="1"/>
      <w:numFmt w:val="bullet"/>
      <w:lvlText w:val=""/>
      <w:lvlJc w:val="left"/>
      <w:pPr>
        <w:ind w:left="6480" w:hanging="360"/>
      </w:pPr>
      <w:rPr>
        <w:rFonts w:ascii="Wingdings" w:hAnsi="Wingdings" w:hint="default"/>
      </w:rPr>
    </w:lvl>
  </w:abstractNum>
  <w:abstractNum w:abstractNumId="15" w15:restartNumberingAfterBreak="0">
    <w:nsid w:val="70C032C2"/>
    <w:multiLevelType w:val="hybridMultilevel"/>
    <w:tmpl w:val="F9828EBA"/>
    <w:lvl w:ilvl="0" w:tplc="20F609BC">
      <w:start w:val="1"/>
      <w:numFmt w:val="decimal"/>
      <w:lvlText w:val="%1."/>
      <w:lvlJc w:val="left"/>
      <w:pPr>
        <w:ind w:left="720" w:hanging="360"/>
      </w:pPr>
      <w:rPr>
        <w:rFonts w:hint="default"/>
      </w:rPr>
    </w:lvl>
    <w:lvl w:ilvl="1" w:tplc="E51E2BBE">
      <w:start w:val="1"/>
      <w:numFmt w:val="lowerLetter"/>
      <w:lvlText w:val="%2."/>
      <w:lvlJc w:val="left"/>
      <w:pPr>
        <w:ind w:left="1440" w:hanging="360"/>
      </w:pPr>
    </w:lvl>
    <w:lvl w:ilvl="2" w:tplc="958A4BE6">
      <w:start w:val="1"/>
      <w:numFmt w:val="lowerRoman"/>
      <w:lvlText w:val="%3."/>
      <w:lvlJc w:val="right"/>
      <w:pPr>
        <w:ind w:left="2160" w:hanging="180"/>
      </w:pPr>
    </w:lvl>
    <w:lvl w:ilvl="3" w:tplc="225C785E">
      <w:start w:val="1"/>
      <w:numFmt w:val="decimal"/>
      <w:lvlText w:val="%4."/>
      <w:lvlJc w:val="left"/>
      <w:pPr>
        <w:ind w:left="2880" w:hanging="360"/>
      </w:pPr>
    </w:lvl>
    <w:lvl w:ilvl="4" w:tplc="3E8E3B72">
      <w:start w:val="1"/>
      <w:numFmt w:val="lowerLetter"/>
      <w:lvlText w:val="%5."/>
      <w:lvlJc w:val="left"/>
      <w:pPr>
        <w:ind w:left="3600" w:hanging="360"/>
      </w:pPr>
    </w:lvl>
    <w:lvl w:ilvl="5" w:tplc="0D444228">
      <w:start w:val="1"/>
      <w:numFmt w:val="lowerRoman"/>
      <w:lvlText w:val="%6."/>
      <w:lvlJc w:val="right"/>
      <w:pPr>
        <w:ind w:left="4320" w:hanging="180"/>
      </w:pPr>
    </w:lvl>
    <w:lvl w:ilvl="6" w:tplc="494EA018">
      <w:start w:val="1"/>
      <w:numFmt w:val="decimal"/>
      <w:lvlText w:val="%7."/>
      <w:lvlJc w:val="left"/>
      <w:pPr>
        <w:ind w:left="5040" w:hanging="360"/>
      </w:pPr>
    </w:lvl>
    <w:lvl w:ilvl="7" w:tplc="325A03F0">
      <w:start w:val="1"/>
      <w:numFmt w:val="lowerLetter"/>
      <w:lvlText w:val="%8."/>
      <w:lvlJc w:val="left"/>
      <w:pPr>
        <w:ind w:left="5760" w:hanging="360"/>
      </w:pPr>
    </w:lvl>
    <w:lvl w:ilvl="8" w:tplc="8F60DD74">
      <w:start w:val="1"/>
      <w:numFmt w:val="lowerRoman"/>
      <w:lvlText w:val="%9."/>
      <w:lvlJc w:val="right"/>
      <w:pPr>
        <w:ind w:left="6480" w:hanging="180"/>
      </w:pPr>
    </w:lvl>
  </w:abstractNum>
  <w:abstractNum w:abstractNumId="16" w15:restartNumberingAfterBreak="0">
    <w:nsid w:val="71C60F7C"/>
    <w:multiLevelType w:val="hybridMultilevel"/>
    <w:tmpl w:val="4FC0C6BE"/>
    <w:lvl w:ilvl="0" w:tplc="1E3E9F5C">
      <w:start w:val="1"/>
      <w:numFmt w:val="decimal"/>
      <w:pStyle w:val="NumHead1"/>
      <w:lvlText w:val="%1."/>
      <w:lvlJc w:val="left"/>
      <w:pPr>
        <w:tabs>
          <w:tab w:val="num" w:pos="720"/>
        </w:tabs>
        <w:ind w:left="720" w:hanging="360"/>
      </w:pPr>
      <w:rPr>
        <w:rFonts w:hint="default"/>
      </w:rPr>
    </w:lvl>
    <w:lvl w:ilvl="1" w:tplc="13FE51FA">
      <w:start w:val="1"/>
      <w:numFmt w:val="lowerLetter"/>
      <w:lvlText w:val="%2."/>
      <w:lvlJc w:val="left"/>
      <w:pPr>
        <w:tabs>
          <w:tab w:val="num" w:pos="1440"/>
        </w:tabs>
        <w:ind w:left="1440" w:hanging="360"/>
      </w:pPr>
    </w:lvl>
    <w:lvl w:ilvl="2" w:tplc="6F187120">
      <w:start w:val="1"/>
      <w:numFmt w:val="lowerRoman"/>
      <w:lvlText w:val="%3."/>
      <w:lvlJc w:val="right"/>
      <w:pPr>
        <w:tabs>
          <w:tab w:val="num" w:pos="2160"/>
        </w:tabs>
        <w:ind w:left="2160" w:hanging="180"/>
      </w:pPr>
    </w:lvl>
    <w:lvl w:ilvl="3" w:tplc="4A66B302">
      <w:start w:val="1"/>
      <w:numFmt w:val="decimal"/>
      <w:pStyle w:val="Web"/>
      <w:lvlText w:val="%4."/>
      <w:lvlJc w:val="left"/>
      <w:pPr>
        <w:tabs>
          <w:tab w:val="num" w:pos="2880"/>
        </w:tabs>
        <w:ind w:left="2880" w:hanging="360"/>
      </w:pPr>
    </w:lvl>
    <w:lvl w:ilvl="4" w:tplc="DFB01036">
      <w:start w:val="1"/>
      <w:numFmt w:val="lowerLetter"/>
      <w:lvlText w:val="%5."/>
      <w:lvlJc w:val="left"/>
      <w:pPr>
        <w:tabs>
          <w:tab w:val="num" w:pos="3600"/>
        </w:tabs>
        <w:ind w:left="3600" w:hanging="360"/>
      </w:pPr>
    </w:lvl>
    <w:lvl w:ilvl="5" w:tplc="4394D228">
      <w:start w:val="1"/>
      <w:numFmt w:val="lowerRoman"/>
      <w:lvlText w:val="%6."/>
      <w:lvlJc w:val="right"/>
      <w:pPr>
        <w:tabs>
          <w:tab w:val="num" w:pos="4320"/>
        </w:tabs>
        <w:ind w:left="4320" w:hanging="180"/>
      </w:pPr>
    </w:lvl>
    <w:lvl w:ilvl="6" w:tplc="C4DE1F34">
      <w:start w:val="1"/>
      <w:numFmt w:val="decimal"/>
      <w:lvlText w:val="%7."/>
      <w:lvlJc w:val="left"/>
      <w:pPr>
        <w:tabs>
          <w:tab w:val="num" w:pos="5040"/>
        </w:tabs>
        <w:ind w:left="5040" w:hanging="360"/>
      </w:pPr>
    </w:lvl>
    <w:lvl w:ilvl="7" w:tplc="4E5EDDEA">
      <w:start w:val="1"/>
      <w:numFmt w:val="lowerLetter"/>
      <w:lvlText w:val="%8."/>
      <w:lvlJc w:val="left"/>
      <w:pPr>
        <w:tabs>
          <w:tab w:val="num" w:pos="5760"/>
        </w:tabs>
        <w:ind w:left="5760" w:hanging="360"/>
      </w:pPr>
    </w:lvl>
    <w:lvl w:ilvl="8" w:tplc="0E9A83CC">
      <w:start w:val="1"/>
      <w:numFmt w:val="lowerRoman"/>
      <w:lvlText w:val="%9."/>
      <w:lvlJc w:val="right"/>
      <w:pPr>
        <w:tabs>
          <w:tab w:val="num" w:pos="6480"/>
        </w:tabs>
        <w:ind w:left="6480" w:hanging="180"/>
      </w:pPr>
    </w:lvl>
  </w:abstractNum>
  <w:abstractNum w:abstractNumId="17" w15:restartNumberingAfterBreak="0">
    <w:nsid w:val="73723A1A"/>
    <w:multiLevelType w:val="hybridMultilevel"/>
    <w:tmpl w:val="6AB2D16A"/>
    <w:lvl w:ilvl="0" w:tplc="45F05AF8">
      <w:start w:val="1"/>
      <w:numFmt w:val="decimal"/>
      <w:lvlText w:val="%1."/>
      <w:lvlJc w:val="left"/>
      <w:pPr>
        <w:ind w:left="720" w:hanging="360"/>
      </w:pPr>
      <w:rPr>
        <w:rFonts w:hint="default"/>
      </w:rPr>
    </w:lvl>
    <w:lvl w:ilvl="1" w:tplc="551C6468">
      <w:start w:val="1"/>
      <w:numFmt w:val="lowerLetter"/>
      <w:lvlText w:val="%2."/>
      <w:lvlJc w:val="left"/>
      <w:pPr>
        <w:ind w:left="1440" w:hanging="360"/>
      </w:pPr>
    </w:lvl>
    <w:lvl w:ilvl="2" w:tplc="87A42316">
      <w:start w:val="1"/>
      <w:numFmt w:val="lowerRoman"/>
      <w:lvlText w:val="%3."/>
      <w:lvlJc w:val="right"/>
      <w:pPr>
        <w:ind w:left="2160" w:hanging="180"/>
      </w:pPr>
    </w:lvl>
    <w:lvl w:ilvl="3" w:tplc="45009DDC">
      <w:start w:val="1"/>
      <w:numFmt w:val="decimal"/>
      <w:lvlText w:val="%4."/>
      <w:lvlJc w:val="left"/>
      <w:pPr>
        <w:ind w:left="2880" w:hanging="360"/>
      </w:pPr>
    </w:lvl>
    <w:lvl w:ilvl="4" w:tplc="967A426E">
      <w:start w:val="1"/>
      <w:numFmt w:val="lowerLetter"/>
      <w:lvlText w:val="%5."/>
      <w:lvlJc w:val="left"/>
      <w:pPr>
        <w:ind w:left="3600" w:hanging="360"/>
      </w:pPr>
    </w:lvl>
    <w:lvl w:ilvl="5" w:tplc="D856F8BC">
      <w:start w:val="1"/>
      <w:numFmt w:val="lowerRoman"/>
      <w:lvlText w:val="%6."/>
      <w:lvlJc w:val="right"/>
      <w:pPr>
        <w:ind w:left="4320" w:hanging="180"/>
      </w:pPr>
    </w:lvl>
    <w:lvl w:ilvl="6" w:tplc="F2F40D24">
      <w:start w:val="1"/>
      <w:numFmt w:val="decimal"/>
      <w:lvlText w:val="%7."/>
      <w:lvlJc w:val="left"/>
      <w:pPr>
        <w:ind w:left="5040" w:hanging="360"/>
      </w:pPr>
    </w:lvl>
    <w:lvl w:ilvl="7" w:tplc="89F269BE">
      <w:start w:val="1"/>
      <w:numFmt w:val="lowerLetter"/>
      <w:lvlText w:val="%8."/>
      <w:lvlJc w:val="left"/>
      <w:pPr>
        <w:ind w:left="5760" w:hanging="360"/>
      </w:pPr>
    </w:lvl>
    <w:lvl w:ilvl="8" w:tplc="3BD6D852">
      <w:start w:val="1"/>
      <w:numFmt w:val="lowerRoman"/>
      <w:lvlText w:val="%9."/>
      <w:lvlJc w:val="right"/>
      <w:pPr>
        <w:ind w:left="6480" w:hanging="180"/>
      </w:pPr>
    </w:lvl>
  </w:abstractNum>
  <w:abstractNum w:abstractNumId="18" w15:restartNumberingAfterBreak="0">
    <w:nsid w:val="74676238"/>
    <w:multiLevelType w:val="hybridMultilevel"/>
    <w:tmpl w:val="7A34848C"/>
    <w:lvl w:ilvl="0" w:tplc="58BC8744">
      <w:start w:val="1"/>
      <w:numFmt w:val="decimal"/>
      <w:lvlText w:val="%1."/>
      <w:lvlJc w:val="left"/>
      <w:pPr>
        <w:ind w:left="720" w:hanging="360"/>
      </w:pPr>
      <w:rPr>
        <w:rFonts w:hint="default"/>
      </w:rPr>
    </w:lvl>
    <w:lvl w:ilvl="1" w:tplc="A62A15DA">
      <w:start w:val="1"/>
      <w:numFmt w:val="lowerLetter"/>
      <w:lvlText w:val="%2."/>
      <w:lvlJc w:val="left"/>
      <w:pPr>
        <w:ind w:left="1440" w:hanging="360"/>
      </w:pPr>
    </w:lvl>
    <w:lvl w:ilvl="2" w:tplc="A17A3EFC">
      <w:start w:val="1"/>
      <w:numFmt w:val="lowerRoman"/>
      <w:lvlText w:val="%3."/>
      <w:lvlJc w:val="right"/>
      <w:pPr>
        <w:ind w:left="2160" w:hanging="180"/>
      </w:pPr>
    </w:lvl>
    <w:lvl w:ilvl="3" w:tplc="9E00E0F4">
      <w:start w:val="1"/>
      <w:numFmt w:val="decimal"/>
      <w:lvlText w:val="%4."/>
      <w:lvlJc w:val="left"/>
      <w:pPr>
        <w:ind w:left="2880" w:hanging="360"/>
      </w:pPr>
    </w:lvl>
    <w:lvl w:ilvl="4" w:tplc="78FE1360">
      <w:start w:val="1"/>
      <w:numFmt w:val="lowerLetter"/>
      <w:lvlText w:val="%5."/>
      <w:lvlJc w:val="left"/>
      <w:pPr>
        <w:ind w:left="3600" w:hanging="360"/>
      </w:pPr>
    </w:lvl>
    <w:lvl w:ilvl="5" w:tplc="9E0E2ADE">
      <w:start w:val="1"/>
      <w:numFmt w:val="lowerRoman"/>
      <w:lvlText w:val="%6."/>
      <w:lvlJc w:val="right"/>
      <w:pPr>
        <w:ind w:left="4320" w:hanging="180"/>
      </w:pPr>
    </w:lvl>
    <w:lvl w:ilvl="6" w:tplc="D0968D3E">
      <w:start w:val="1"/>
      <w:numFmt w:val="decimal"/>
      <w:lvlText w:val="%7."/>
      <w:lvlJc w:val="left"/>
      <w:pPr>
        <w:ind w:left="5040" w:hanging="360"/>
      </w:pPr>
    </w:lvl>
    <w:lvl w:ilvl="7" w:tplc="F03275A6">
      <w:start w:val="1"/>
      <w:numFmt w:val="lowerLetter"/>
      <w:lvlText w:val="%8."/>
      <w:lvlJc w:val="left"/>
      <w:pPr>
        <w:ind w:left="5760" w:hanging="360"/>
      </w:pPr>
    </w:lvl>
    <w:lvl w:ilvl="8" w:tplc="EEDC1EB0">
      <w:start w:val="1"/>
      <w:numFmt w:val="lowerRoman"/>
      <w:lvlText w:val="%9."/>
      <w:lvlJc w:val="right"/>
      <w:pPr>
        <w:ind w:left="6480" w:hanging="180"/>
      </w:pPr>
    </w:lvl>
  </w:abstractNum>
  <w:abstractNum w:abstractNumId="19" w15:restartNumberingAfterBreak="0">
    <w:nsid w:val="77C6321F"/>
    <w:multiLevelType w:val="hybridMultilevel"/>
    <w:tmpl w:val="F4BA2ACE"/>
    <w:lvl w:ilvl="0" w:tplc="668458B4">
      <w:start w:val="1"/>
      <w:numFmt w:val="decimal"/>
      <w:lvlText w:val="%1."/>
      <w:lvlJc w:val="left"/>
      <w:pPr>
        <w:ind w:left="720" w:hanging="360"/>
      </w:pPr>
      <w:rPr>
        <w:rFonts w:hint="default"/>
      </w:rPr>
    </w:lvl>
    <w:lvl w:ilvl="1" w:tplc="87AEBAA4">
      <w:start w:val="1"/>
      <w:numFmt w:val="lowerLetter"/>
      <w:lvlText w:val="%2."/>
      <w:lvlJc w:val="left"/>
      <w:pPr>
        <w:ind w:left="1440" w:hanging="360"/>
      </w:pPr>
    </w:lvl>
    <w:lvl w:ilvl="2" w:tplc="D6ECA86C">
      <w:start w:val="1"/>
      <w:numFmt w:val="lowerRoman"/>
      <w:lvlText w:val="%3."/>
      <w:lvlJc w:val="right"/>
      <w:pPr>
        <w:ind w:left="2160" w:hanging="180"/>
      </w:pPr>
    </w:lvl>
    <w:lvl w:ilvl="3" w:tplc="E7380ECE">
      <w:start w:val="1"/>
      <w:numFmt w:val="decimal"/>
      <w:lvlText w:val="%4."/>
      <w:lvlJc w:val="left"/>
      <w:pPr>
        <w:ind w:left="2880" w:hanging="360"/>
      </w:pPr>
    </w:lvl>
    <w:lvl w:ilvl="4" w:tplc="3FA6122C">
      <w:start w:val="1"/>
      <w:numFmt w:val="lowerLetter"/>
      <w:lvlText w:val="%5."/>
      <w:lvlJc w:val="left"/>
      <w:pPr>
        <w:ind w:left="3600" w:hanging="360"/>
      </w:pPr>
    </w:lvl>
    <w:lvl w:ilvl="5" w:tplc="A05C55C0">
      <w:start w:val="1"/>
      <w:numFmt w:val="lowerRoman"/>
      <w:lvlText w:val="%6."/>
      <w:lvlJc w:val="right"/>
      <w:pPr>
        <w:ind w:left="4320" w:hanging="180"/>
      </w:pPr>
    </w:lvl>
    <w:lvl w:ilvl="6" w:tplc="002AAC50">
      <w:start w:val="1"/>
      <w:numFmt w:val="decimal"/>
      <w:lvlText w:val="%7."/>
      <w:lvlJc w:val="left"/>
      <w:pPr>
        <w:ind w:left="5040" w:hanging="360"/>
      </w:pPr>
    </w:lvl>
    <w:lvl w:ilvl="7" w:tplc="0736111A">
      <w:start w:val="1"/>
      <w:numFmt w:val="lowerLetter"/>
      <w:lvlText w:val="%8."/>
      <w:lvlJc w:val="left"/>
      <w:pPr>
        <w:ind w:left="5760" w:hanging="360"/>
      </w:pPr>
    </w:lvl>
    <w:lvl w:ilvl="8" w:tplc="5666DD38">
      <w:start w:val="1"/>
      <w:numFmt w:val="lowerRoman"/>
      <w:lvlText w:val="%9."/>
      <w:lvlJc w:val="right"/>
      <w:pPr>
        <w:ind w:left="6480" w:hanging="180"/>
      </w:pPr>
    </w:lvl>
  </w:abstractNum>
  <w:abstractNum w:abstractNumId="20" w15:restartNumberingAfterBreak="0">
    <w:nsid w:val="7824401D"/>
    <w:multiLevelType w:val="hybridMultilevel"/>
    <w:tmpl w:val="BF243F18"/>
    <w:lvl w:ilvl="0" w:tplc="D3FAAE02">
      <w:start w:val="1"/>
      <w:numFmt w:val="bullet"/>
      <w:lvlText w:val=""/>
      <w:lvlJc w:val="left"/>
      <w:pPr>
        <w:ind w:left="1287" w:hanging="360"/>
      </w:pPr>
      <w:rPr>
        <w:rFonts w:ascii="Symbol" w:hAnsi="Symbol" w:hint="default"/>
      </w:rPr>
    </w:lvl>
    <w:lvl w:ilvl="1" w:tplc="1B6419E0">
      <w:start w:val="1"/>
      <w:numFmt w:val="bullet"/>
      <w:lvlText w:val="o"/>
      <w:lvlJc w:val="left"/>
      <w:pPr>
        <w:ind w:left="2007" w:hanging="360"/>
      </w:pPr>
      <w:rPr>
        <w:rFonts w:ascii="Courier New" w:hAnsi="Courier New" w:cs="Courier New" w:hint="default"/>
      </w:rPr>
    </w:lvl>
    <w:lvl w:ilvl="2" w:tplc="FB9E7DBE">
      <w:start w:val="1"/>
      <w:numFmt w:val="bullet"/>
      <w:lvlText w:val=""/>
      <w:lvlJc w:val="left"/>
      <w:pPr>
        <w:ind w:left="2727" w:hanging="360"/>
      </w:pPr>
      <w:rPr>
        <w:rFonts w:ascii="Wingdings" w:hAnsi="Wingdings" w:hint="default"/>
      </w:rPr>
    </w:lvl>
    <w:lvl w:ilvl="3" w:tplc="48B0F07C">
      <w:start w:val="1"/>
      <w:numFmt w:val="bullet"/>
      <w:lvlText w:val=""/>
      <w:lvlJc w:val="left"/>
      <w:pPr>
        <w:ind w:left="3447" w:hanging="360"/>
      </w:pPr>
      <w:rPr>
        <w:rFonts w:ascii="Symbol" w:hAnsi="Symbol" w:hint="default"/>
      </w:rPr>
    </w:lvl>
    <w:lvl w:ilvl="4" w:tplc="7CE24BC0">
      <w:start w:val="1"/>
      <w:numFmt w:val="bullet"/>
      <w:lvlText w:val="o"/>
      <w:lvlJc w:val="left"/>
      <w:pPr>
        <w:ind w:left="4167" w:hanging="360"/>
      </w:pPr>
      <w:rPr>
        <w:rFonts w:ascii="Courier New" w:hAnsi="Courier New" w:cs="Courier New" w:hint="default"/>
      </w:rPr>
    </w:lvl>
    <w:lvl w:ilvl="5" w:tplc="619C36F8">
      <w:start w:val="1"/>
      <w:numFmt w:val="bullet"/>
      <w:lvlText w:val=""/>
      <w:lvlJc w:val="left"/>
      <w:pPr>
        <w:ind w:left="4887" w:hanging="360"/>
      </w:pPr>
      <w:rPr>
        <w:rFonts w:ascii="Wingdings" w:hAnsi="Wingdings" w:hint="default"/>
      </w:rPr>
    </w:lvl>
    <w:lvl w:ilvl="6" w:tplc="2BBC316A">
      <w:start w:val="1"/>
      <w:numFmt w:val="bullet"/>
      <w:lvlText w:val=""/>
      <w:lvlJc w:val="left"/>
      <w:pPr>
        <w:ind w:left="5607" w:hanging="360"/>
      </w:pPr>
      <w:rPr>
        <w:rFonts w:ascii="Symbol" w:hAnsi="Symbol" w:hint="default"/>
      </w:rPr>
    </w:lvl>
    <w:lvl w:ilvl="7" w:tplc="FEFE1858">
      <w:start w:val="1"/>
      <w:numFmt w:val="bullet"/>
      <w:lvlText w:val="o"/>
      <w:lvlJc w:val="left"/>
      <w:pPr>
        <w:ind w:left="6327" w:hanging="360"/>
      </w:pPr>
      <w:rPr>
        <w:rFonts w:ascii="Courier New" w:hAnsi="Courier New" w:cs="Courier New" w:hint="default"/>
      </w:rPr>
    </w:lvl>
    <w:lvl w:ilvl="8" w:tplc="70F28F06">
      <w:start w:val="1"/>
      <w:numFmt w:val="bullet"/>
      <w:lvlText w:val=""/>
      <w:lvlJc w:val="left"/>
      <w:pPr>
        <w:ind w:left="7047" w:hanging="360"/>
      </w:pPr>
      <w:rPr>
        <w:rFonts w:ascii="Wingdings" w:hAnsi="Wingdings" w:hint="default"/>
      </w:rPr>
    </w:lvl>
  </w:abstractNum>
  <w:num w:numId="1">
    <w:abstractNumId w:val="16"/>
  </w:num>
  <w:num w:numId="2">
    <w:abstractNumId w:val="9"/>
  </w:num>
  <w:num w:numId="3">
    <w:abstractNumId w:val="7"/>
  </w:num>
  <w:num w:numId="4">
    <w:abstractNumId w:val="20"/>
  </w:num>
  <w:num w:numId="5">
    <w:abstractNumId w:val="1"/>
  </w:num>
  <w:num w:numId="6">
    <w:abstractNumId w:val="2"/>
  </w:num>
  <w:num w:numId="7">
    <w:abstractNumId w:val="4"/>
  </w:num>
  <w:num w:numId="8">
    <w:abstractNumId w:val="12"/>
  </w:num>
  <w:num w:numId="9">
    <w:abstractNumId w:val="14"/>
  </w:num>
  <w:num w:numId="10">
    <w:abstractNumId w:val="18"/>
  </w:num>
  <w:num w:numId="11">
    <w:abstractNumId w:val="15"/>
  </w:num>
  <w:num w:numId="12">
    <w:abstractNumId w:val="11"/>
  </w:num>
  <w:num w:numId="13">
    <w:abstractNumId w:val="3"/>
  </w:num>
  <w:num w:numId="14">
    <w:abstractNumId w:val="10"/>
  </w:num>
  <w:num w:numId="15">
    <w:abstractNumId w:val="13"/>
  </w:num>
  <w:num w:numId="16">
    <w:abstractNumId w:val="0"/>
  </w:num>
  <w:num w:numId="17">
    <w:abstractNumId w:val="6"/>
  </w:num>
  <w:num w:numId="18">
    <w:abstractNumId w:val="19"/>
  </w:num>
  <w:num w:numId="19">
    <w:abstractNumId w:val="17"/>
  </w:num>
  <w:num w:numId="20">
    <w:abstractNumId w:val="5"/>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0DA8"/>
    <w:rsid w:val="00107880"/>
    <w:rsid w:val="001132D9"/>
    <w:rsid w:val="001245C7"/>
    <w:rsid w:val="002459A9"/>
    <w:rsid w:val="002C44F6"/>
    <w:rsid w:val="0030044B"/>
    <w:rsid w:val="003671AF"/>
    <w:rsid w:val="003A5CC0"/>
    <w:rsid w:val="003E1836"/>
    <w:rsid w:val="00434931"/>
    <w:rsid w:val="0044223E"/>
    <w:rsid w:val="0057741F"/>
    <w:rsid w:val="00577F4F"/>
    <w:rsid w:val="00582FD1"/>
    <w:rsid w:val="005F3B04"/>
    <w:rsid w:val="005F7993"/>
    <w:rsid w:val="0060252F"/>
    <w:rsid w:val="00613D8C"/>
    <w:rsid w:val="006A1EBD"/>
    <w:rsid w:val="006C5ED6"/>
    <w:rsid w:val="0073328A"/>
    <w:rsid w:val="007E730F"/>
    <w:rsid w:val="00835526"/>
    <w:rsid w:val="008406F2"/>
    <w:rsid w:val="008729A7"/>
    <w:rsid w:val="008F6D50"/>
    <w:rsid w:val="009A33CF"/>
    <w:rsid w:val="009C50DC"/>
    <w:rsid w:val="009D2295"/>
    <w:rsid w:val="00A04991"/>
    <w:rsid w:val="00A10DA8"/>
    <w:rsid w:val="00A32D89"/>
    <w:rsid w:val="00BA187F"/>
    <w:rsid w:val="00C5526C"/>
    <w:rsid w:val="00C630A8"/>
    <w:rsid w:val="00C839FB"/>
    <w:rsid w:val="00CA7E8A"/>
    <w:rsid w:val="00CD1022"/>
    <w:rsid w:val="00D25B00"/>
    <w:rsid w:val="00DB5C31"/>
    <w:rsid w:val="00DE62FA"/>
    <w:rsid w:val="00E16CC1"/>
    <w:rsid w:val="00E31E4F"/>
    <w:rsid w:val="00E656AE"/>
    <w:rsid w:val="00EA113A"/>
    <w:rsid w:val="00EF1245"/>
    <w:rsid w:val="00FD1F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813E5"/>
  <w15:docId w15:val="{5D47756C-0D84-4560-B560-A96BDC9B9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200" w:line="276" w:lineRule="auto"/>
    </w:pPr>
  </w:style>
  <w:style w:type="paragraph" w:styleId="1">
    <w:name w:val="heading 1"/>
    <w:basedOn w:val="a0"/>
    <w:next w:val="a0"/>
    <w:link w:val="10"/>
    <w:qFormat/>
    <w:pPr>
      <w:keepNext/>
      <w:spacing w:after="0" w:line="240" w:lineRule="auto"/>
      <w:jc w:val="both"/>
      <w:outlineLvl w:val="0"/>
    </w:pPr>
    <w:rPr>
      <w:rFonts w:ascii="Times New Roman" w:eastAsia="Times New Roman" w:hAnsi="Times New Roman" w:cs="Times New Roman"/>
      <w:b/>
      <w:bCs/>
      <w:sz w:val="24"/>
      <w:szCs w:val="24"/>
      <w:lang w:eastAsia="ru-RU"/>
    </w:rPr>
  </w:style>
  <w:style w:type="paragraph" w:styleId="2">
    <w:name w:val="heading 2"/>
    <w:basedOn w:val="a0"/>
    <w:next w:val="a0"/>
    <w:link w:val="20"/>
    <w:qFormat/>
    <w:pPr>
      <w:keepNext/>
      <w:spacing w:after="0" w:line="240" w:lineRule="auto"/>
      <w:jc w:val="both"/>
      <w:outlineLvl w:val="1"/>
    </w:pPr>
    <w:rPr>
      <w:rFonts w:ascii="Times New Roman" w:eastAsia="Times New Roman" w:hAnsi="Times New Roman" w:cs="Times New Roman"/>
      <w:b/>
      <w:bCs/>
      <w:sz w:val="18"/>
      <w:szCs w:val="24"/>
      <w:lang w:eastAsia="ru-RU"/>
    </w:rPr>
  </w:style>
  <w:style w:type="paragraph" w:styleId="3">
    <w:name w:val="heading 3"/>
    <w:basedOn w:val="a0"/>
    <w:next w:val="a0"/>
    <w:link w:val="30"/>
    <w:qFormat/>
    <w:pPr>
      <w:keepNext/>
      <w:spacing w:after="0" w:line="240" w:lineRule="auto"/>
      <w:jc w:val="both"/>
      <w:outlineLvl w:val="2"/>
    </w:pPr>
    <w:rPr>
      <w:rFonts w:ascii="Times New Roman" w:eastAsia="Times New Roman" w:hAnsi="Times New Roman" w:cs="Times New Roman"/>
      <w:b/>
      <w:bCs/>
      <w:szCs w:val="24"/>
      <w:lang w:eastAsia="ru-RU"/>
    </w:rPr>
  </w:style>
  <w:style w:type="paragraph" w:styleId="4">
    <w:name w:val="heading 4"/>
    <w:basedOn w:val="a0"/>
    <w:next w:val="a0"/>
    <w:link w:val="40"/>
    <w:qFormat/>
    <w:pPr>
      <w:keepNext/>
      <w:spacing w:after="0" w:line="240" w:lineRule="auto"/>
      <w:ind w:left="4248" w:firstLine="708"/>
      <w:outlineLvl w:val="3"/>
    </w:pPr>
    <w:rPr>
      <w:rFonts w:ascii="Times New Roman" w:eastAsia="Times New Roman" w:hAnsi="Times New Roman" w:cs="Times New Roman"/>
      <w:sz w:val="28"/>
      <w:szCs w:val="24"/>
      <w:lang w:eastAsia="ru-RU"/>
    </w:rPr>
  </w:style>
  <w:style w:type="paragraph" w:styleId="5">
    <w:name w:val="heading 5"/>
    <w:basedOn w:val="a0"/>
    <w:next w:val="a0"/>
    <w:link w:val="50"/>
    <w:qFormat/>
    <w:pPr>
      <w:keepNext/>
      <w:spacing w:after="0" w:line="240" w:lineRule="auto"/>
      <w:ind w:firstLine="708"/>
      <w:jc w:val="center"/>
      <w:outlineLvl w:val="4"/>
    </w:pPr>
    <w:rPr>
      <w:rFonts w:ascii="Times New Roman" w:eastAsia="Times New Roman" w:hAnsi="Times New Roman" w:cs="Times New Roman"/>
      <w:b/>
      <w:bCs/>
      <w:sz w:val="24"/>
      <w:szCs w:val="24"/>
      <w:lang w:eastAsia="ru-RU"/>
    </w:rPr>
  </w:style>
  <w:style w:type="paragraph" w:styleId="6">
    <w:name w:val="heading 6"/>
    <w:basedOn w:val="a0"/>
    <w:next w:val="a0"/>
    <w:link w:val="60"/>
    <w:unhideWhenUsed/>
    <w:qFormat/>
    <w:pPr>
      <w:spacing w:before="240" w:after="60" w:line="240" w:lineRule="auto"/>
      <w:outlineLvl w:val="5"/>
    </w:pPr>
    <w:rPr>
      <w:rFonts w:eastAsiaTheme="minorEastAsia"/>
      <w:b/>
      <w:bCs/>
      <w:lang w:eastAsia="ru-RU"/>
    </w:rPr>
  </w:style>
  <w:style w:type="paragraph" w:styleId="7">
    <w:name w:val="heading 7"/>
    <w:basedOn w:val="a0"/>
    <w:next w:val="a0"/>
    <w:link w:val="70"/>
    <w:qFormat/>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0"/>
    <w:next w:val="a0"/>
    <w:link w:val="80"/>
    <w:qFormat/>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0"/>
    <w:next w:val="a0"/>
    <w:link w:val="90"/>
    <w:qFormat/>
    <w:pPr>
      <w:spacing w:before="240" w:after="60" w:line="240" w:lineRule="auto"/>
      <w:outlineLvl w:val="8"/>
    </w:pPr>
    <w:rPr>
      <w:rFonts w:ascii="Arial" w:eastAsia="Times New Roman"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character" w:customStyle="1" w:styleId="TitleChar">
    <w:name w:val="Title Char"/>
    <w:basedOn w:val="a1"/>
    <w:uiPriority w:val="10"/>
    <w:rPr>
      <w:sz w:val="48"/>
      <w:szCs w:val="48"/>
    </w:rPr>
  </w:style>
  <w:style w:type="paragraph" w:styleId="a4">
    <w:name w:val="Subtitle"/>
    <w:basedOn w:val="a0"/>
    <w:next w:val="a0"/>
    <w:link w:val="a5"/>
    <w:uiPriority w:val="11"/>
    <w:qFormat/>
    <w:pPr>
      <w:spacing w:before="200"/>
    </w:pPr>
    <w:rPr>
      <w:sz w:val="24"/>
      <w:szCs w:val="24"/>
    </w:rPr>
  </w:style>
  <w:style w:type="character" w:customStyle="1" w:styleId="a5">
    <w:name w:val="Подзаголовок Знак"/>
    <w:basedOn w:val="a1"/>
    <w:link w:val="a4"/>
    <w:uiPriority w:val="11"/>
    <w:rPr>
      <w:sz w:val="24"/>
      <w:szCs w:val="24"/>
    </w:rPr>
  </w:style>
  <w:style w:type="paragraph" w:styleId="21">
    <w:name w:val="Quote"/>
    <w:basedOn w:val="a0"/>
    <w:next w:val="a0"/>
    <w:link w:val="22"/>
    <w:uiPriority w:val="29"/>
    <w:qFormat/>
    <w:pPr>
      <w:ind w:left="720" w:right="720"/>
    </w:pPr>
    <w:rPr>
      <w:i/>
    </w:rPr>
  </w:style>
  <w:style w:type="character" w:customStyle="1" w:styleId="22">
    <w:name w:val="Цитата 2 Знак"/>
    <w:link w:val="21"/>
    <w:uiPriority w:val="29"/>
    <w:rPr>
      <w:i/>
    </w:rPr>
  </w:style>
  <w:style w:type="paragraph" w:styleId="a6">
    <w:name w:val="Intense Quote"/>
    <w:basedOn w:val="a0"/>
    <w:next w:val="a0"/>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7">
    <w:name w:val="Выделенная цитата Знак"/>
    <w:link w:val="a6"/>
    <w:uiPriority w:val="30"/>
    <w:rPr>
      <w:i/>
    </w:rPr>
  </w:style>
  <w:style w:type="character" w:customStyle="1" w:styleId="HeaderChar">
    <w:name w:val="Header Char"/>
    <w:basedOn w:val="a1"/>
    <w:uiPriority w:val="99"/>
  </w:style>
  <w:style w:type="character" w:customStyle="1" w:styleId="FooterChar">
    <w:name w:val="Footer Char"/>
    <w:basedOn w:val="a1"/>
    <w:uiPriority w:val="99"/>
  </w:style>
  <w:style w:type="character" w:customStyle="1" w:styleId="a8">
    <w:name w:val="Название объекта Знак"/>
    <w:basedOn w:val="a1"/>
    <w:link w:val="a9"/>
    <w:uiPriority w:val="35"/>
    <w:rPr>
      <w:b/>
      <w:bCs/>
      <w:color w:val="5B9BD5" w:themeColor="accent1"/>
      <w:sz w:val="18"/>
      <w:szCs w:val="18"/>
    </w:rPr>
  </w:style>
  <w:style w:type="table" w:customStyle="1" w:styleId="TableGridLight">
    <w:name w:val="Table Grid Light"/>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a">
    <w:name w:val="table of figures"/>
    <w:basedOn w:val="a0"/>
    <w:next w:val="a0"/>
    <w:uiPriority w:val="99"/>
    <w:unhideWhenUsed/>
    <w:pPr>
      <w:spacing w:after="0"/>
    </w:pPr>
  </w:style>
  <w:style w:type="character" w:customStyle="1" w:styleId="10">
    <w:name w:val="Заголовок 1 Знак"/>
    <w:basedOn w:val="a1"/>
    <w:link w:val="1"/>
    <w:rPr>
      <w:rFonts w:ascii="Times New Roman" w:eastAsia="Times New Roman" w:hAnsi="Times New Roman" w:cs="Times New Roman"/>
      <w:b/>
      <w:bCs/>
      <w:sz w:val="24"/>
      <w:szCs w:val="24"/>
      <w:lang w:eastAsia="ru-RU"/>
    </w:rPr>
  </w:style>
  <w:style w:type="character" w:customStyle="1" w:styleId="20">
    <w:name w:val="Заголовок 2 Знак"/>
    <w:basedOn w:val="a1"/>
    <w:link w:val="2"/>
    <w:rPr>
      <w:rFonts w:ascii="Times New Roman" w:eastAsia="Times New Roman" w:hAnsi="Times New Roman" w:cs="Times New Roman"/>
      <w:b/>
      <w:bCs/>
      <w:sz w:val="18"/>
      <w:szCs w:val="24"/>
      <w:lang w:eastAsia="ru-RU"/>
    </w:rPr>
  </w:style>
  <w:style w:type="character" w:customStyle="1" w:styleId="30">
    <w:name w:val="Заголовок 3 Знак"/>
    <w:basedOn w:val="a1"/>
    <w:link w:val="3"/>
    <w:rPr>
      <w:rFonts w:ascii="Times New Roman" w:eastAsia="Times New Roman" w:hAnsi="Times New Roman" w:cs="Times New Roman"/>
      <w:b/>
      <w:bCs/>
      <w:szCs w:val="24"/>
      <w:lang w:eastAsia="ru-RU"/>
    </w:rPr>
  </w:style>
  <w:style w:type="character" w:customStyle="1" w:styleId="40">
    <w:name w:val="Заголовок 4 Знак"/>
    <w:basedOn w:val="a1"/>
    <w:link w:val="4"/>
    <w:rPr>
      <w:rFonts w:ascii="Times New Roman" w:eastAsia="Times New Roman" w:hAnsi="Times New Roman" w:cs="Times New Roman"/>
      <w:sz w:val="28"/>
      <w:szCs w:val="24"/>
      <w:lang w:eastAsia="ru-RU"/>
    </w:rPr>
  </w:style>
  <w:style w:type="character" w:customStyle="1" w:styleId="50">
    <w:name w:val="Заголовок 5 Знак"/>
    <w:basedOn w:val="a1"/>
    <w:link w:val="5"/>
    <w:rPr>
      <w:rFonts w:ascii="Times New Roman" w:eastAsia="Times New Roman" w:hAnsi="Times New Roman" w:cs="Times New Roman"/>
      <w:b/>
      <w:bCs/>
      <w:sz w:val="24"/>
      <w:szCs w:val="24"/>
      <w:lang w:eastAsia="ru-RU"/>
    </w:rPr>
  </w:style>
  <w:style w:type="character" w:customStyle="1" w:styleId="60">
    <w:name w:val="Заголовок 6 Знак"/>
    <w:basedOn w:val="a1"/>
    <w:link w:val="6"/>
    <w:rPr>
      <w:rFonts w:eastAsiaTheme="minorEastAsia"/>
      <w:b/>
      <w:bCs/>
      <w:lang w:eastAsia="ru-RU"/>
    </w:rPr>
  </w:style>
  <w:style w:type="character" w:customStyle="1" w:styleId="70">
    <w:name w:val="Заголовок 7 Знак"/>
    <w:basedOn w:val="a1"/>
    <w:link w:val="7"/>
    <w:rPr>
      <w:rFonts w:ascii="Times New Roman" w:eastAsia="Times New Roman" w:hAnsi="Times New Roman" w:cs="Times New Roman"/>
      <w:sz w:val="24"/>
      <w:szCs w:val="24"/>
      <w:lang w:eastAsia="ru-RU"/>
    </w:rPr>
  </w:style>
  <w:style w:type="character" w:customStyle="1" w:styleId="80">
    <w:name w:val="Заголовок 8 Знак"/>
    <w:basedOn w:val="a1"/>
    <w:link w:val="8"/>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Pr>
      <w:rFonts w:ascii="Arial" w:eastAsia="Times New Roman" w:hAnsi="Arial" w:cs="Arial"/>
      <w:lang w:eastAsia="ru-RU"/>
    </w:rPr>
  </w:style>
  <w:style w:type="paragraph" w:styleId="24">
    <w:name w:val="Body Text 2"/>
    <w:basedOn w:val="a0"/>
    <w:link w:val="25"/>
    <w:pPr>
      <w:spacing w:after="0" w:line="240" w:lineRule="auto"/>
    </w:pPr>
    <w:rPr>
      <w:rFonts w:ascii="Times New Roman" w:eastAsia="Times New Roman" w:hAnsi="Times New Roman" w:cs="Times New Roman"/>
      <w:szCs w:val="24"/>
      <w:lang w:eastAsia="ru-RU"/>
    </w:rPr>
  </w:style>
  <w:style w:type="character" w:customStyle="1" w:styleId="25">
    <w:name w:val="Основной текст 2 Знак"/>
    <w:basedOn w:val="a1"/>
    <w:link w:val="24"/>
    <w:rPr>
      <w:rFonts w:ascii="Times New Roman" w:eastAsia="Times New Roman" w:hAnsi="Times New Roman" w:cs="Times New Roman"/>
      <w:szCs w:val="24"/>
      <w:lang w:eastAsia="ru-RU"/>
    </w:rPr>
  </w:style>
  <w:style w:type="paragraph" w:styleId="ab">
    <w:name w:val="Balloon Text"/>
    <w:basedOn w:val="a0"/>
    <w:link w:val="ac"/>
    <w:uiPriority w:val="99"/>
    <w:semiHidden/>
    <w:pPr>
      <w:spacing w:after="0" w:line="240" w:lineRule="auto"/>
    </w:pPr>
    <w:rPr>
      <w:rFonts w:ascii="Tahoma" w:eastAsia="Times New Roman" w:hAnsi="Tahoma" w:cs="Tahoma"/>
      <w:sz w:val="16"/>
      <w:szCs w:val="16"/>
      <w:lang w:eastAsia="ru-RU"/>
    </w:rPr>
  </w:style>
  <w:style w:type="character" w:customStyle="1" w:styleId="ac">
    <w:name w:val="Текст выноски Знак"/>
    <w:basedOn w:val="a1"/>
    <w:link w:val="ab"/>
    <w:uiPriority w:val="99"/>
    <w:semiHidden/>
    <w:rPr>
      <w:rFonts w:ascii="Tahoma" w:eastAsia="Times New Roman" w:hAnsi="Tahoma" w:cs="Tahoma"/>
      <w:sz w:val="16"/>
      <w:szCs w:val="16"/>
      <w:lang w:eastAsia="ru-RU"/>
    </w:rPr>
  </w:style>
  <w:style w:type="paragraph" w:styleId="ad">
    <w:name w:val="Body Text Indent"/>
    <w:basedOn w:val="a0"/>
    <w:link w:val="ae"/>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1"/>
    <w:link w:val="ad"/>
    <w:rPr>
      <w:rFonts w:ascii="Times New Roman" w:eastAsia="Times New Roman" w:hAnsi="Times New Roman" w:cs="Times New Roman"/>
      <w:sz w:val="24"/>
      <w:szCs w:val="24"/>
      <w:lang w:eastAsia="ru-RU"/>
    </w:rPr>
  </w:style>
  <w:style w:type="paragraph" w:styleId="af">
    <w:name w:val="Body Text"/>
    <w:basedOn w:val="a0"/>
    <w:link w:val="af0"/>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1"/>
    <w:link w:val="af"/>
    <w:rPr>
      <w:rFonts w:ascii="Times New Roman" w:eastAsia="Times New Roman" w:hAnsi="Times New Roman" w:cs="Times New Roman"/>
      <w:sz w:val="24"/>
      <w:szCs w:val="24"/>
      <w:lang w:eastAsia="ru-RU"/>
    </w:rPr>
  </w:style>
  <w:style w:type="paragraph" w:styleId="af1">
    <w:name w:val="header"/>
    <w:basedOn w:val="a0"/>
    <w:link w:val="af2"/>
    <w:uiPriority w:val="9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Верхний колонтитул Знак"/>
    <w:basedOn w:val="a1"/>
    <w:link w:val="af1"/>
    <w:uiPriority w:val="99"/>
    <w:rPr>
      <w:rFonts w:ascii="Times New Roman" w:eastAsia="Times New Roman" w:hAnsi="Times New Roman" w:cs="Times New Roman"/>
      <w:sz w:val="24"/>
      <w:szCs w:val="24"/>
      <w:lang w:eastAsia="ru-RU"/>
    </w:rPr>
  </w:style>
  <w:style w:type="paragraph" w:styleId="af3">
    <w:name w:val="footer"/>
    <w:basedOn w:val="a0"/>
    <w:link w:val="af4"/>
    <w:uiPriority w:val="9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1"/>
    <w:link w:val="af3"/>
    <w:uiPriority w:val="99"/>
    <w:rPr>
      <w:rFonts w:ascii="Times New Roman" w:eastAsia="Times New Roman" w:hAnsi="Times New Roman" w:cs="Times New Roman"/>
      <w:sz w:val="24"/>
      <w:szCs w:val="24"/>
      <w:lang w:eastAsia="ru-RU"/>
    </w:rPr>
  </w:style>
  <w:style w:type="character" w:styleId="af5">
    <w:name w:val="annotation reference"/>
    <w:basedOn w:val="a1"/>
    <w:uiPriority w:val="99"/>
    <w:rPr>
      <w:sz w:val="16"/>
      <w:szCs w:val="16"/>
    </w:rPr>
  </w:style>
  <w:style w:type="paragraph" w:styleId="af6">
    <w:name w:val="annotation text"/>
    <w:basedOn w:val="a0"/>
    <w:link w:val="af7"/>
    <w:uiPriority w:val="99"/>
    <w:pPr>
      <w:spacing w:after="0" w:line="240" w:lineRule="auto"/>
    </w:pPr>
    <w:rPr>
      <w:rFonts w:ascii="Times New Roman" w:eastAsia="Times New Roman" w:hAnsi="Times New Roman" w:cs="Times New Roman"/>
      <w:sz w:val="20"/>
      <w:szCs w:val="20"/>
      <w:lang w:eastAsia="ru-RU"/>
    </w:rPr>
  </w:style>
  <w:style w:type="character" w:customStyle="1" w:styleId="af7">
    <w:name w:val="Текст примечания Знак"/>
    <w:basedOn w:val="a1"/>
    <w:link w:val="af6"/>
    <w:uiPriority w:val="99"/>
    <w:rPr>
      <w:rFonts w:ascii="Times New Roman" w:eastAsia="Times New Roman" w:hAnsi="Times New Roman" w:cs="Times New Roman"/>
      <w:sz w:val="20"/>
      <w:szCs w:val="20"/>
      <w:lang w:eastAsia="ru-RU"/>
    </w:rPr>
  </w:style>
  <w:style w:type="paragraph" w:styleId="af8">
    <w:name w:val="annotation subject"/>
    <w:basedOn w:val="af6"/>
    <w:next w:val="af6"/>
    <w:link w:val="af9"/>
    <w:uiPriority w:val="99"/>
    <w:rPr>
      <w:b/>
      <w:bCs/>
    </w:rPr>
  </w:style>
  <w:style w:type="character" w:customStyle="1" w:styleId="af9">
    <w:name w:val="Тема примечания Знак"/>
    <w:basedOn w:val="af7"/>
    <w:link w:val="af8"/>
    <w:uiPriority w:val="99"/>
    <w:rPr>
      <w:rFonts w:ascii="Times New Roman" w:eastAsia="Times New Roman" w:hAnsi="Times New Roman" w:cs="Times New Roman"/>
      <w:b/>
      <w:bCs/>
      <w:sz w:val="20"/>
      <w:szCs w:val="20"/>
      <w:lang w:eastAsia="ru-RU"/>
    </w:rPr>
  </w:style>
  <w:style w:type="table" w:styleId="afa">
    <w:name w:val="Table Grid"/>
    <w:basedOn w:val="a2"/>
    <w:uiPriority w:val="3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Hyperlink"/>
    <w:basedOn w:val="a1"/>
    <w:uiPriority w:val="99"/>
    <w:rPr>
      <w:color w:val="0563C1" w:themeColor="hyperlink"/>
      <w:u w:val="single"/>
    </w:rPr>
  </w:style>
  <w:style w:type="paragraph" w:customStyle="1" w:styleId="210">
    <w:name w:val="Основной текст 21"/>
    <w:basedOn w:val="a0"/>
    <w:pPr>
      <w:spacing w:after="120" w:line="480" w:lineRule="auto"/>
    </w:pPr>
    <w:rPr>
      <w:rFonts w:ascii="Times New Roman" w:eastAsia="Times New Roman" w:hAnsi="Times New Roman" w:cs="Times New Roman"/>
      <w:sz w:val="24"/>
      <w:szCs w:val="24"/>
      <w:lang w:eastAsia="ar-SA"/>
    </w:rPr>
  </w:style>
  <w:style w:type="character" w:customStyle="1" w:styleId="WW8Num3z0">
    <w:name w:val="WW8Num3z0"/>
    <w:rPr>
      <w:b/>
    </w:rPr>
  </w:style>
  <w:style w:type="character" w:customStyle="1" w:styleId="WW8Num4z0">
    <w:name w:val="WW8Num4z0"/>
    <w:rPr>
      <w:rFonts w:ascii="Symbol" w:hAnsi="Symbol"/>
    </w:rPr>
  </w:style>
  <w:style w:type="character" w:customStyle="1" w:styleId="12">
    <w:name w:val="Знак Знак1"/>
    <w:rPr>
      <w:sz w:val="28"/>
      <w:szCs w:val="24"/>
      <w:lang w:val="ru-RU" w:eastAsia="ru-RU" w:bidi="ar-SA"/>
    </w:rPr>
  </w:style>
  <w:style w:type="paragraph" w:styleId="26">
    <w:name w:val="Body Text Indent 2"/>
    <w:basedOn w:val="a0"/>
    <w:link w:val="27"/>
    <w:pPr>
      <w:spacing w:after="120" w:line="480" w:lineRule="auto"/>
      <w:ind w:left="283"/>
    </w:pPr>
    <w:rPr>
      <w:rFonts w:ascii="Times New Roman" w:eastAsia="Times New Roman" w:hAnsi="Times New Roman" w:cs="Times New Roman"/>
      <w:sz w:val="24"/>
      <w:szCs w:val="24"/>
      <w:lang w:eastAsia="ru-RU"/>
    </w:rPr>
  </w:style>
  <w:style w:type="character" w:customStyle="1" w:styleId="27">
    <w:name w:val="Основной текст с отступом 2 Знак"/>
    <w:basedOn w:val="a1"/>
    <w:link w:val="26"/>
    <w:rPr>
      <w:rFonts w:ascii="Times New Roman" w:eastAsia="Times New Roman" w:hAnsi="Times New Roman" w:cs="Times New Roman"/>
      <w:sz w:val="24"/>
      <w:szCs w:val="24"/>
      <w:lang w:eastAsia="ru-RU"/>
    </w:rPr>
  </w:style>
  <w:style w:type="paragraph" w:styleId="afc">
    <w:name w:val="footnote text"/>
    <w:basedOn w:val="a0"/>
    <w:link w:val="afd"/>
    <w:uiPriority w:val="99"/>
    <w:qFormat/>
    <w:pPr>
      <w:widowControl w:val="0"/>
      <w:spacing w:after="0" w:line="240" w:lineRule="auto"/>
    </w:pPr>
    <w:rPr>
      <w:rFonts w:ascii="Times New Roman" w:eastAsia="Times New Roman" w:hAnsi="Times New Roman" w:cs="Times New Roman"/>
      <w:sz w:val="20"/>
      <w:szCs w:val="20"/>
      <w:lang w:eastAsia="ru-RU"/>
    </w:rPr>
  </w:style>
  <w:style w:type="character" w:customStyle="1" w:styleId="afd">
    <w:name w:val="Текст сноски Знак"/>
    <w:basedOn w:val="a1"/>
    <w:link w:val="afc"/>
    <w:uiPriority w:val="99"/>
    <w:rPr>
      <w:rFonts w:ascii="Times New Roman" w:eastAsia="Times New Roman" w:hAnsi="Times New Roman" w:cs="Times New Roman"/>
      <w:sz w:val="20"/>
      <w:szCs w:val="20"/>
      <w:lang w:eastAsia="ru-RU"/>
    </w:rPr>
  </w:style>
  <w:style w:type="character" w:customStyle="1" w:styleId="42">
    <w:name w:val="Знак Знак4"/>
    <w:rPr>
      <w:lang w:val="ru-RU" w:eastAsia="ru-RU" w:bidi="ar-SA"/>
    </w:rPr>
  </w:style>
  <w:style w:type="character" w:styleId="afe">
    <w:name w:val="footnote reference"/>
    <w:qFormat/>
    <w:rPr>
      <w:vertAlign w:val="superscript"/>
    </w:rPr>
  </w:style>
  <w:style w:type="paragraph" w:styleId="32">
    <w:name w:val="Body Text Indent 3"/>
    <w:basedOn w:val="a0"/>
    <w:link w:val="33"/>
    <w:pPr>
      <w:spacing w:after="120" w:line="240" w:lineRule="auto"/>
      <w:ind w:left="283"/>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1"/>
    <w:link w:val="32"/>
    <w:rPr>
      <w:rFonts w:ascii="Times New Roman" w:eastAsia="Times New Roman" w:hAnsi="Times New Roman" w:cs="Times New Roman"/>
      <w:sz w:val="16"/>
      <w:szCs w:val="16"/>
      <w:lang w:eastAsia="ru-RU"/>
    </w:rPr>
  </w:style>
  <w:style w:type="paragraph" w:customStyle="1" w:styleId="ConsPlusNormal">
    <w:name w:val="ConsPlusNormal"/>
    <w:pPr>
      <w:widowControl w:val="0"/>
      <w:spacing w:after="0" w:line="240" w:lineRule="auto"/>
      <w:ind w:firstLine="720"/>
    </w:pPr>
    <w:rPr>
      <w:rFonts w:ascii="Arial" w:eastAsia="Times New Roman" w:hAnsi="Arial" w:cs="Arial"/>
      <w:sz w:val="20"/>
      <w:szCs w:val="20"/>
      <w:lang w:eastAsia="ru-RU"/>
    </w:rPr>
  </w:style>
  <w:style w:type="character" w:customStyle="1" w:styleId="SUBST">
    <w:name w:val="__SUBST"/>
    <w:rPr>
      <w:b/>
      <w:bCs/>
      <w:i/>
      <w:iCs/>
      <w:sz w:val="22"/>
      <w:szCs w:val="22"/>
    </w:rPr>
  </w:style>
  <w:style w:type="character" w:customStyle="1" w:styleId="52">
    <w:name w:val="Знак Знак5"/>
    <w:semiHidden/>
    <w:rPr>
      <w:lang w:val="ru-RU" w:eastAsia="ru-RU" w:bidi="ar-SA"/>
    </w:rPr>
  </w:style>
  <w:style w:type="paragraph" w:styleId="aff">
    <w:name w:val="List Paragraph"/>
    <w:basedOn w:val="a0"/>
    <w:link w:val="aff0"/>
    <w:uiPriority w:val="34"/>
    <w:qFormat/>
    <w:pPr>
      <w:spacing w:after="0" w:line="240" w:lineRule="auto"/>
      <w:ind w:left="720"/>
    </w:pPr>
    <w:rPr>
      <w:rFonts w:ascii="Calibri" w:eastAsia="Calibri" w:hAnsi="Calibri" w:cs="Calibri"/>
    </w:rPr>
  </w:style>
  <w:style w:type="character" w:customStyle="1" w:styleId="34">
    <w:name w:val="Знак Знак3"/>
    <w:rPr>
      <w:sz w:val="24"/>
      <w:szCs w:val="24"/>
      <w:lang w:val="ru-RU" w:eastAsia="ru-RU" w:bidi="ar-SA"/>
    </w:rPr>
  </w:style>
  <w:style w:type="character" w:customStyle="1" w:styleId="28">
    <w:name w:val="Знак Знак2"/>
    <w:rPr>
      <w:sz w:val="24"/>
      <w:szCs w:val="24"/>
      <w:lang w:val="ru-RU" w:eastAsia="ru-RU" w:bidi="ar-SA"/>
    </w:rPr>
  </w:style>
  <w:style w:type="character" w:styleId="aff1">
    <w:name w:val="page number"/>
  </w:style>
  <w:style w:type="character" w:customStyle="1" w:styleId="aff2">
    <w:name w:val="Знак Знак"/>
    <w:rPr>
      <w:b/>
      <w:bCs/>
      <w:lang w:val="ru-RU" w:eastAsia="ru-RU" w:bidi="ar-SA"/>
    </w:rPr>
  </w:style>
  <w:style w:type="paragraph" w:customStyle="1" w:styleId="FR4">
    <w:name w:val="FR4"/>
    <w:pPr>
      <w:widowControl w:val="0"/>
      <w:spacing w:before="160" w:after="0" w:line="240" w:lineRule="auto"/>
      <w:ind w:left="80" w:firstLine="380"/>
    </w:pPr>
    <w:rPr>
      <w:rFonts w:ascii="Times New Roman" w:eastAsia="Times New Roman" w:hAnsi="Times New Roman" w:cs="Times New Roman"/>
      <w:sz w:val="16"/>
      <w:szCs w:val="20"/>
      <w:lang w:eastAsia="ru-RU"/>
    </w:rPr>
  </w:style>
  <w:style w:type="paragraph" w:styleId="aff3">
    <w:name w:val="Block Text"/>
    <w:basedOn w:val="a0"/>
    <w:pPr>
      <w:spacing w:after="0" w:line="240" w:lineRule="auto"/>
      <w:ind w:left="113" w:right="113"/>
      <w:jc w:val="center"/>
    </w:pPr>
    <w:rPr>
      <w:rFonts w:ascii="Arial" w:eastAsia="Times New Roman" w:hAnsi="Arial" w:cs="Arial"/>
      <w:sz w:val="16"/>
      <w:szCs w:val="20"/>
      <w:lang w:eastAsia="ru-RU"/>
    </w:rPr>
  </w:style>
  <w:style w:type="paragraph" w:customStyle="1" w:styleId="ConsTitle">
    <w:name w:val="ConsTitle"/>
    <w:pPr>
      <w:widowControl w:val="0"/>
      <w:spacing w:after="0" w:line="240" w:lineRule="auto"/>
    </w:pPr>
    <w:rPr>
      <w:rFonts w:ascii="Arial" w:eastAsia="Times New Roman" w:hAnsi="Arial" w:cs="Arial"/>
      <w:b/>
      <w:bCs/>
      <w:sz w:val="20"/>
      <w:szCs w:val="20"/>
      <w:lang w:eastAsia="ru-RU"/>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color w:val="auto"/>
      <w:sz w:val="24"/>
    </w:rPr>
  </w:style>
  <w:style w:type="character" w:customStyle="1" w:styleId="WW8Num9z0">
    <w:name w:val="WW8Num9z0"/>
    <w:rPr>
      <w:b w:val="0"/>
      <w:i w:val="0"/>
      <w:sz w:val="22"/>
    </w:rPr>
  </w:style>
  <w:style w:type="character" w:customStyle="1" w:styleId="WW8Num10z0">
    <w:name w:val="WW8Num10z0"/>
    <w:rPr>
      <w:b/>
    </w:rPr>
  </w:style>
  <w:style w:type="character" w:customStyle="1" w:styleId="WW8Num11z0">
    <w:name w:val="WW8Num11z0"/>
    <w:rPr>
      <w:b/>
    </w:rPr>
  </w:style>
  <w:style w:type="character" w:customStyle="1" w:styleId="WW8Num12z0">
    <w:name w:val="WW8Num12z0"/>
    <w:rPr>
      <w:rFonts w:ascii="Symbol" w:hAnsi="Symbol"/>
      <w:color w:val="auto"/>
    </w:rPr>
  </w:style>
  <w:style w:type="character" w:customStyle="1" w:styleId="WW8Num13z0">
    <w:name w:val="WW8Num13z0"/>
    <w:rPr>
      <w:rFonts w:ascii="Symbol" w:hAnsi="Symbol"/>
      <w:color w:val="auto"/>
      <w:sz w:val="24"/>
    </w:rPr>
  </w:style>
  <w:style w:type="character" w:customStyle="1" w:styleId="WW8Num15z0">
    <w:name w:val="WW8Num15z0"/>
    <w:rPr>
      <w:rFonts w:ascii="Symbol" w:hAnsi="Symbol"/>
      <w:color w:val="auto"/>
      <w:sz w:val="24"/>
    </w:rPr>
  </w:style>
  <w:style w:type="character" w:customStyle="1" w:styleId="WW8Num16z0">
    <w:name w:val="WW8Num16z0"/>
    <w:rPr>
      <w:rFonts w:ascii="Symbol" w:hAnsi="Symbol"/>
    </w:rPr>
  </w:style>
  <w:style w:type="character" w:customStyle="1" w:styleId="WW8Num18z0">
    <w:name w:val="WW8Num18z0"/>
    <w:rPr>
      <w:rFonts w:ascii="Symbol" w:hAnsi="Symbol"/>
    </w:rPr>
  </w:style>
  <w:style w:type="character" w:customStyle="1" w:styleId="WW8Num19z0">
    <w:name w:val="WW8Num19z0"/>
    <w:rPr>
      <w:rFonts w:ascii="Symbol" w:hAnsi="Symbol"/>
    </w:rPr>
  </w:style>
  <w:style w:type="character" w:customStyle="1" w:styleId="WW8Num20z0">
    <w:name w:val="WW8Num20z0"/>
    <w:rPr>
      <w:rFonts w:ascii="Symbol" w:hAnsi="Symbol"/>
      <w:color w:val="auto"/>
      <w:sz w:val="24"/>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20z4">
    <w:name w:val="WW8Num20z4"/>
    <w:rPr>
      <w:rFonts w:ascii="Courier New" w:hAnsi="Courier New"/>
    </w:rPr>
  </w:style>
  <w:style w:type="character" w:customStyle="1" w:styleId="WW8Num21z0">
    <w:name w:val="WW8Num21z0"/>
    <w:rPr>
      <w:rFonts w:ascii="Symbol" w:hAnsi="Symbol"/>
      <w:color w:val="auto"/>
      <w:sz w:val="24"/>
    </w:rPr>
  </w:style>
  <w:style w:type="character" w:customStyle="1" w:styleId="WW8Num22z0">
    <w:name w:val="WW8Num22z0"/>
    <w:rPr>
      <w:rFonts w:ascii="Symbol" w:hAnsi="Symbol"/>
    </w:rPr>
  </w:style>
  <w:style w:type="character" w:customStyle="1" w:styleId="WW8Num23z0">
    <w:name w:val="WW8Num23z0"/>
    <w:rPr>
      <w:b w:val="0"/>
      <w:i w:val="0"/>
      <w:sz w:val="22"/>
    </w:rPr>
  </w:style>
  <w:style w:type="character" w:customStyle="1" w:styleId="WW8Num24z0">
    <w:name w:val="WW8Num24z0"/>
    <w:rPr>
      <w:b/>
    </w:rPr>
  </w:style>
  <w:style w:type="character" w:customStyle="1" w:styleId="WW8Num26z0">
    <w:name w:val="WW8Num26z0"/>
    <w:rPr>
      <w:rFonts w:ascii="Symbol" w:hAnsi="Symbol"/>
    </w:rPr>
  </w:style>
  <w:style w:type="character" w:customStyle="1" w:styleId="WW8Num28z0">
    <w:name w:val="WW8Num28z0"/>
    <w:rPr>
      <w:rFonts w:ascii="Symbol" w:hAnsi="Symbol"/>
    </w:rPr>
  </w:style>
  <w:style w:type="character" w:customStyle="1" w:styleId="WW8Num30z0">
    <w:name w:val="WW8Num30z0"/>
    <w:rPr>
      <w:b/>
    </w:rPr>
  </w:style>
  <w:style w:type="character" w:customStyle="1" w:styleId="WW8Num31z0">
    <w:name w:val="WW8Num31z0"/>
    <w:rPr>
      <w:rFonts w:ascii="Symbol" w:hAnsi="Symbol"/>
      <w:color w:val="auto"/>
      <w:sz w:val="24"/>
    </w:rPr>
  </w:style>
  <w:style w:type="character" w:customStyle="1" w:styleId="WW8Num32z0">
    <w:name w:val="WW8Num32z0"/>
    <w:rPr>
      <w:rFonts w:ascii="Symbol" w:hAnsi="Symbol"/>
      <w:color w:val="auto"/>
      <w:sz w:val="24"/>
    </w:rPr>
  </w:style>
  <w:style w:type="character" w:customStyle="1" w:styleId="WW8Num34z0">
    <w:name w:val="WW8Num34z0"/>
    <w:rPr>
      <w:rFonts w:ascii="Wingdings" w:hAnsi="Wingdings"/>
    </w:rPr>
  </w:style>
  <w:style w:type="character" w:customStyle="1" w:styleId="WW8Num35z0">
    <w:name w:val="WW8Num35z0"/>
    <w:rPr>
      <w:rFonts w:ascii="Wingdings" w:hAnsi="Wingdings"/>
    </w:rPr>
  </w:style>
  <w:style w:type="character" w:customStyle="1" w:styleId="WW8Num37z0">
    <w:name w:val="WW8Num37z0"/>
    <w:rPr>
      <w:rFonts w:ascii="Symbol" w:hAnsi="Symbol"/>
    </w:rPr>
  </w:style>
  <w:style w:type="character" w:customStyle="1" w:styleId="WW8Num38z0">
    <w:name w:val="WW8Num38z0"/>
    <w:rPr>
      <w:rFonts w:ascii="Symbol" w:hAnsi="Symbol"/>
    </w:rPr>
  </w:style>
  <w:style w:type="character" w:customStyle="1" w:styleId="WW8Num38z2">
    <w:name w:val="WW8Num38z2"/>
    <w:rPr>
      <w:rFonts w:ascii="Wingdings" w:hAnsi="Wingdings"/>
    </w:rPr>
  </w:style>
  <w:style w:type="character" w:customStyle="1" w:styleId="WW8Num38z4">
    <w:name w:val="WW8Num38z4"/>
    <w:rPr>
      <w:rFonts w:ascii="Courier New" w:hAnsi="Courier New"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25z0">
    <w:name w:val="WW8Num25z0"/>
    <w:rPr>
      <w:rFonts w:ascii="Symbol" w:hAnsi="Symbol"/>
    </w:rPr>
  </w:style>
  <w:style w:type="character" w:customStyle="1" w:styleId="WW8Num27z0">
    <w:name w:val="WW8Num27z0"/>
    <w:rPr>
      <w:rFonts w:ascii="Symbol" w:hAnsi="Symbol"/>
      <w:color w:val="auto"/>
      <w:sz w:val="24"/>
    </w:rPr>
  </w:style>
  <w:style w:type="character" w:customStyle="1" w:styleId="WW8Num29z0">
    <w:name w:val="WW8Num29z0"/>
    <w:rPr>
      <w:b w:val="0"/>
      <w:i w:val="0"/>
      <w:sz w:val="22"/>
    </w:rPr>
  </w:style>
  <w:style w:type="character" w:customStyle="1" w:styleId="WW8Num33z0">
    <w:name w:val="WW8Num33z0"/>
    <w:rPr>
      <w:rFonts w:ascii="Arial" w:hAnsi="Arial" w:cs="Arial"/>
    </w:rPr>
  </w:style>
  <w:style w:type="character" w:customStyle="1" w:styleId="WW8Num36z0">
    <w:name w:val="WW8Num36z0"/>
    <w:rPr>
      <w:rFonts w:ascii="Times New Roman" w:eastAsia="Times New Roman" w:hAnsi="Times New Roman"/>
    </w:rPr>
  </w:style>
  <w:style w:type="character" w:customStyle="1" w:styleId="WW8Num39z0">
    <w:name w:val="WW8Num39z0"/>
    <w:rPr>
      <w:rFonts w:ascii="Symbol" w:hAnsi="Symbol"/>
      <w:color w:val="auto"/>
      <w:sz w:val="24"/>
    </w:rPr>
  </w:style>
  <w:style w:type="character" w:customStyle="1" w:styleId="WW8Num40z0">
    <w:name w:val="WW8Num40z0"/>
    <w:rPr>
      <w:b/>
    </w:rPr>
  </w:style>
  <w:style w:type="character" w:customStyle="1" w:styleId="WW8Num40z2">
    <w:name w:val="WW8Num40z2"/>
    <w:rPr>
      <w:rFonts w:ascii="Wingdings" w:hAnsi="Wingdings"/>
    </w:rPr>
  </w:style>
  <w:style w:type="character" w:customStyle="1" w:styleId="WW8Num40z4">
    <w:name w:val="WW8Num40z4"/>
    <w:rPr>
      <w:rFonts w:ascii="Courier New" w:hAnsi="Courier New" w:cs="Courier New"/>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21z2">
    <w:name w:val="WW8Num21z2"/>
    <w:rPr>
      <w:rFonts w:ascii="Wingdings" w:hAnsi="Wingdings"/>
    </w:rPr>
  </w:style>
  <w:style w:type="character" w:customStyle="1" w:styleId="WW8Num21z3">
    <w:name w:val="WW8Num21z3"/>
    <w:rPr>
      <w:rFonts w:ascii="Symbol" w:hAnsi="Symbol"/>
    </w:rPr>
  </w:style>
  <w:style w:type="character" w:customStyle="1" w:styleId="WW8Num21z4">
    <w:name w:val="WW8Num21z4"/>
    <w:rPr>
      <w:rFonts w:ascii="Courier New" w:hAnsi="Courier New"/>
    </w:rPr>
  </w:style>
  <w:style w:type="character" w:customStyle="1" w:styleId="WW8Num41z0">
    <w:name w:val="WW8Num41z0"/>
    <w:rPr>
      <w:rFonts w:ascii="Symbol" w:hAnsi="Symbol"/>
    </w:rPr>
  </w:style>
  <w:style w:type="character" w:customStyle="1" w:styleId="WW8Num41z2">
    <w:name w:val="WW8Num41z2"/>
    <w:rPr>
      <w:rFonts w:ascii="Wingdings" w:hAnsi="Wingdings"/>
    </w:rPr>
  </w:style>
  <w:style w:type="character" w:customStyle="1" w:styleId="WW8Num41z3">
    <w:name w:val="WW8Num41z3"/>
    <w:rPr>
      <w:rFonts w:ascii="Symbol" w:hAnsi="Symbol"/>
    </w:rPr>
  </w:style>
  <w:style w:type="character" w:customStyle="1" w:styleId="WW8Num41z4">
    <w:name w:val="WW8Num41z4"/>
    <w:rPr>
      <w:rFonts w:ascii="Courier New" w:hAnsi="Courier New" w:cs="Courier New"/>
    </w:rPr>
  </w:style>
  <w:style w:type="character" w:customStyle="1" w:styleId="WW-Absatz-Standardschriftart111">
    <w:name w:val="WW-Absatz-Standardschriftart111"/>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1">
    <w:name w:val="WW8Num8z1"/>
    <w:rPr>
      <w:rFonts w:ascii="Courier New" w:hAnsi="Courier New"/>
    </w:rPr>
  </w:style>
  <w:style w:type="character" w:customStyle="1" w:styleId="WW8Num8z2">
    <w:name w:val="WW8Num8z2"/>
    <w:rPr>
      <w:rFonts w:ascii="Wingdings" w:hAnsi="Wingdings"/>
    </w:rPr>
  </w:style>
  <w:style w:type="character" w:customStyle="1" w:styleId="WW8Num8z3">
    <w:name w:val="WW8Num8z3"/>
    <w:rPr>
      <w:rFonts w:ascii="Symbol" w:hAnsi="Symbol"/>
    </w:rPr>
  </w:style>
  <w:style w:type="character" w:customStyle="1" w:styleId="WW8Num10z1">
    <w:name w:val="WW8Num10z1"/>
    <w:rPr>
      <w:rFonts w:ascii="Courier New" w:hAnsi="Courier New"/>
    </w:rPr>
  </w:style>
  <w:style w:type="character" w:customStyle="1" w:styleId="WW8Num10z2">
    <w:name w:val="WW8Num10z2"/>
    <w:rPr>
      <w:rFonts w:ascii="Wingdings" w:hAnsi="Wingdings"/>
    </w:rPr>
  </w:style>
  <w:style w:type="character" w:customStyle="1" w:styleId="WW8Num10z3">
    <w:name w:val="WW8Num10z3"/>
    <w:rPr>
      <w:rFonts w:ascii="Symbol" w:hAnsi="Symbol"/>
    </w:rPr>
  </w:style>
  <w:style w:type="character" w:customStyle="1" w:styleId="WW8Num12z2">
    <w:name w:val="WW8Num12z2"/>
    <w:rPr>
      <w:rFonts w:ascii="Wingdings" w:hAnsi="Wingdings"/>
    </w:rPr>
  </w:style>
  <w:style w:type="character" w:customStyle="1" w:styleId="WW8Num12z3">
    <w:name w:val="WW8Num12z3"/>
    <w:rPr>
      <w:rFonts w:ascii="Symbol" w:hAnsi="Symbol"/>
    </w:rPr>
  </w:style>
  <w:style w:type="character" w:customStyle="1" w:styleId="WW8Num12z4">
    <w:name w:val="WW8Num12z4"/>
    <w:rPr>
      <w:rFonts w:ascii="Courier New" w:hAnsi="Courier New" w:cs="Courier New"/>
    </w:rPr>
  </w:style>
  <w:style w:type="character" w:customStyle="1" w:styleId="WW8Num13z1">
    <w:name w:val="WW8Num13z1"/>
    <w:rPr>
      <w:rFonts w:ascii="Courier New" w:hAnsi="Courier New"/>
    </w:rPr>
  </w:style>
  <w:style w:type="character" w:customStyle="1" w:styleId="WW8Num13z2">
    <w:name w:val="WW8Num13z2"/>
    <w:rPr>
      <w:rFonts w:ascii="Wingdings" w:hAnsi="Wingdings"/>
    </w:rPr>
  </w:style>
  <w:style w:type="character" w:customStyle="1" w:styleId="WW8Num13z3">
    <w:name w:val="WW8Num13z3"/>
    <w:rPr>
      <w:rFonts w:ascii="Symbol" w:hAnsi="Symbol"/>
    </w:rPr>
  </w:style>
  <w:style w:type="character" w:customStyle="1" w:styleId="WW8Num14z0">
    <w:name w:val="WW8Num14z0"/>
    <w:rPr>
      <w:rFonts w:ascii="Symbol" w:hAnsi="Symbol"/>
      <w:color w:val="auto"/>
      <w:sz w:val="24"/>
    </w:rPr>
  </w:style>
  <w:style w:type="character" w:customStyle="1" w:styleId="WW8Num14z1">
    <w:name w:val="WW8Num14z1"/>
    <w:rPr>
      <w:rFonts w:ascii="Courier New" w:hAnsi="Courier New"/>
    </w:rPr>
  </w:style>
  <w:style w:type="character" w:customStyle="1" w:styleId="WW8Num14z2">
    <w:name w:val="WW8Num14z2"/>
    <w:rPr>
      <w:rFonts w:ascii="Wingdings" w:hAnsi="Wingdings"/>
    </w:rPr>
  </w:style>
  <w:style w:type="character" w:customStyle="1" w:styleId="WW8Num14z3">
    <w:name w:val="WW8Num14z3"/>
    <w:rPr>
      <w:rFonts w:ascii="Symbol" w:hAnsi="Symbol"/>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7z0">
    <w:name w:val="WW8Num17z0"/>
    <w:rPr>
      <w:b/>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19z3">
    <w:name w:val="WW8Num19z3"/>
    <w:rPr>
      <w:rFonts w:ascii="Symbol" w:hAnsi="Symbol"/>
    </w:rPr>
  </w:style>
  <w:style w:type="character" w:customStyle="1" w:styleId="WW8Num20z1">
    <w:name w:val="WW8Num20z1"/>
    <w:rPr>
      <w:rFonts w:ascii="Courier New" w:hAnsi="Courier New"/>
    </w:rPr>
  </w:style>
  <w:style w:type="character" w:customStyle="1" w:styleId="WW8Num21z1">
    <w:name w:val="WW8Num21z1"/>
    <w:rPr>
      <w:rFonts w:ascii="Courier New" w:hAnsi="Courier New"/>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7z4">
    <w:name w:val="WW8Num27z4"/>
    <w:rPr>
      <w:rFonts w:ascii="Courier New" w:hAnsi="Courier New"/>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31z1">
    <w:name w:val="WW8Num31z1"/>
    <w:rPr>
      <w:rFonts w:ascii="Courier New" w:hAnsi="Courier New"/>
    </w:rPr>
  </w:style>
  <w:style w:type="character" w:customStyle="1" w:styleId="WW8Num31z2">
    <w:name w:val="WW8Num31z2"/>
    <w:rPr>
      <w:rFonts w:ascii="Wingdings" w:hAnsi="Wingdings"/>
    </w:rPr>
  </w:style>
  <w:style w:type="character" w:customStyle="1" w:styleId="WW8Num31z3">
    <w:name w:val="WW8Num31z3"/>
    <w:rPr>
      <w:rFonts w:ascii="Symbol" w:hAnsi="Symbol"/>
    </w:rPr>
  </w:style>
  <w:style w:type="character" w:customStyle="1" w:styleId="WW8Num32z1">
    <w:name w:val="WW8Num32z1"/>
    <w:rPr>
      <w:rFonts w:ascii="Courier New" w:hAnsi="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rPr>
  </w:style>
  <w:style w:type="character" w:customStyle="1" w:styleId="WW8Num33z3">
    <w:name w:val="WW8Num33z3"/>
    <w:rPr>
      <w:rFonts w:ascii="Symbol" w:hAnsi="Symbol"/>
    </w:rPr>
  </w:style>
  <w:style w:type="character" w:customStyle="1" w:styleId="WW8Num34z1">
    <w:name w:val="WW8Num34z1"/>
    <w:rPr>
      <w:rFonts w:ascii="Courier New" w:hAnsi="Courier New" w:cs="Courier New"/>
    </w:rPr>
  </w:style>
  <w:style w:type="character" w:customStyle="1" w:styleId="WW8Num34z3">
    <w:name w:val="WW8Num34z3"/>
    <w:rPr>
      <w:rFonts w:ascii="Symbol" w:hAnsi="Symbol"/>
    </w:rPr>
  </w:style>
  <w:style w:type="character" w:customStyle="1" w:styleId="WW8Num35z1">
    <w:name w:val="WW8Num35z1"/>
    <w:rPr>
      <w:rFonts w:ascii="Courier New" w:hAnsi="Courier New" w:cs="Courier New"/>
    </w:rPr>
  </w:style>
  <w:style w:type="character" w:customStyle="1" w:styleId="WW8Num35z3">
    <w:name w:val="WW8Num35z3"/>
    <w:rPr>
      <w:rFonts w:ascii="Symbol" w:hAnsi="Symbol"/>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cs="Wingdings"/>
    </w:rPr>
  </w:style>
  <w:style w:type="character" w:customStyle="1" w:styleId="WW8Num36z3">
    <w:name w:val="WW8Num36z3"/>
    <w:rPr>
      <w:rFonts w:ascii="Symbol" w:hAnsi="Symbol" w:cs="Symbol"/>
    </w:rPr>
  </w:style>
  <w:style w:type="character" w:customStyle="1" w:styleId="WW8Num38z1">
    <w:name w:val="WW8Num38z1"/>
    <w:rPr>
      <w:rFonts w:ascii="Courier New" w:hAnsi="Courier New" w:cs="Courier New"/>
    </w:rPr>
  </w:style>
  <w:style w:type="character" w:customStyle="1" w:styleId="WW8Num39z1">
    <w:name w:val="WW8Num39z1"/>
    <w:rPr>
      <w:rFonts w:ascii="Courier New" w:hAnsi="Courier New"/>
    </w:rPr>
  </w:style>
  <w:style w:type="character" w:customStyle="1" w:styleId="WW8Num39z2">
    <w:name w:val="WW8Num39z2"/>
    <w:rPr>
      <w:rFonts w:ascii="Wingdings" w:hAnsi="Wingdings"/>
    </w:rPr>
  </w:style>
  <w:style w:type="character" w:customStyle="1" w:styleId="WW8Num39z3">
    <w:name w:val="WW8Num39z3"/>
    <w:rPr>
      <w:rFonts w:ascii="Symbol" w:hAnsi="Symbol"/>
    </w:rPr>
  </w:style>
  <w:style w:type="character" w:customStyle="1" w:styleId="WW8Num41z1">
    <w:name w:val="WW8Num41z1"/>
    <w:rPr>
      <w:rFonts w:ascii="Courier New" w:hAnsi="Courier New" w:cs="Courier New"/>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rPr>
  </w:style>
  <w:style w:type="character" w:customStyle="1" w:styleId="WW8Num42z3">
    <w:name w:val="WW8Num42z3"/>
    <w:rPr>
      <w:rFonts w:ascii="Symbol" w:hAnsi="Symbol"/>
    </w:rPr>
  </w:style>
  <w:style w:type="character" w:customStyle="1" w:styleId="WW8Num43z0">
    <w:name w:val="WW8Num43z0"/>
    <w:rPr>
      <w:b/>
    </w:rPr>
  </w:style>
  <w:style w:type="character" w:customStyle="1" w:styleId="WW8Num44z0">
    <w:name w:val="WW8Num44z0"/>
    <w:rPr>
      <w:rFonts w:ascii="Symbol" w:hAnsi="Symbol"/>
      <w:color w:val="auto"/>
      <w:sz w:val="24"/>
    </w:rPr>
  </w:style>
  <w:style w:type="character" w:customStyle="1" w:styleId="WW8Num44z1">
    <w:name w:val="WW8Num44z1"/>
    <w:rPr>
      <w:rFonts w:ascii="Courier New" w:hAnsi="Courier New"/>
    </w:rPr>
  </w:style>
  <w:style w:type="character" w:customStyle="1" w:styleId="WW8Num44z2">
    <w:name w:val="WW8Num44z2"/>
    <w:rPr>
      <w:rFonts w:ascii="Wingdings" w:hAnsi="Wingdings"/>
    </w:rPr>
  </w:style>
  <w:style w:type="character" w:customStyle="1" w:styleId="WW8Num44z3">
    <w:name w:val="WW8Num44z3"/>
    <w:rPr>
      <w:rFonts w:ascii="Symbol" w:hAnsi="Symbol"/>
    </w:rPr>
  </w:style>
  <w:style w:type="character" w:customStyle="1" w:styleId="WW8Num45z0">
    <w:name w:val="WW8Num45z0"/>
    <w:rPr>
      <w:rFonts w:ascii="Symbol" w:hAnsi="Symbol"/>
      <w:color w:val="auto"/>
    </w:rPr>
  </w:style>
  <w:style w:type="character" w:customStyle="1" w:styleId="WW8Num45z1">
    <w:name w:val="WW8Num45z1"/>
    <w:rPr>
      <w:rFonts w:ascii="Courier New" w:hAnsi="Courier New" w:cs="Courier New"/>
    </w:rPr>
  </w:style>
  <w:style w:type="character" w:customStyle="1" w:styleId="WW8Num45z2">
    <w:name w:val="WW8Num45z2"/>
    <w:rPr>
      <w:rFonts w:ascii="Wingdings" w:hAnsi="Wingdings"/>
    </w:rPr>
  </w:style>
  <w:style w:type="character" w:customStyle="1" w:styleId="WW8Num45z3">
    <w:name w:val="WW8Num45z3"/>
    <w:rPr>
      <w:rFonts w:ascii="Symbol" w:hAnsi="Symbol"/>
    </w:rPr>
  </w:style>
  <w:style w:type="character" w:customStyle="1" w:styleId="WW8Num46z0">
    <w:name w:val="WW8Num46z0"/>
    <w:rPr>
      <w:rFonts w:ascii="Times New Roman" w:hAnsi="Times New Roman" w:cs="Times New Roman"/>
    </w:rPr>
  </w:style>
  <w:style w:type="character" w:customStyle="1" w:styleId="WW8Num46z1">
    <w:name w:val="WW8Num46z1"/>
    <w:rPr>
      <w:rFonts w:ascii="Courier New" w:hAnsi="Courier New" w:cs="Courier New"/>
    </w:rPr>
  </w:style>
  <w:style w:type="character" w:customStyle="1" w:styleId="WW8Num46z2">
    <w:name w:val="WW8Num46z2"/>
    <w:rPr>
      <w:rFonts w:ascii="Wingdings" w:hAnsi="Wingdings"/>
    </w:rPr>
  </w:style>
  <w:style w:type="character" w:customStyle="1" w:styleId="WW8Num46z3">
    <w:name w:val="WW8Num46z3"/>
    <w:rPr>
      <w:rFonts w:ascii="Symbol" w:hAnsi="Symbol"/>
    </w:rPr>
  </w:style>
  <w:style w:type="character" w:customStyle="1" w:styleId="WW8Num47z0">
    <w:name w:val="WW8Num47z0"/>
    <w:rPr>
      <w:b/>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rPr>
  </w:style>
  <w:style w:type="character" w:customStyle="1" w:styleId="WW8Num48z3">
    <w:name w:val="WW8Num48z3"/>
    <w:rPr>
      <w:rFonts w:ascii="Symbol" w:hAnsi="Symbol"/>
    </w:rPr>
  </w:style>
  <w:style w:type="character" w:customStyle="1" w:styleId="WW8Num49z0">
    <w:name w:val="WW8Num49z0"/>
    <w:rPr>
      <w:rFonts w:ascii="Symbol" w:hAnsi="Symbol"/>
    </w:rPr>
  </w:style>
  <w:style w:type="character" w:customStyle="1" w:styleId="WW8Num49z1">
    <w:name w:val="WW8Num49z1"/>
    <w:rPr>
      <w:rFonts w:ascii="Courier New" w:hAnsi="Courier New" w:cs="Courier New"/>
    </w:rPr>
  </w:style>
  <w:style w:type="character" w:customStyle="1" w:styleId="WW8Num49z2">
    <w:name w:val="WW8Num49z2"/>
    <w:rPr>
      <w:rFonts w:ascii="Wingdings" w:hAnsi="Wingdings"/>
    </w:rPr>
  </w:style>
  <w:style w:type="character" w:customStyle="1" w:styleId="WW8Num50z0">
    <w:name w:val="WW8Num50z0"/>
    <w:rPr>
      <w:rFonts w:ascii="Symbol" w:hAnsi="Symbol"/>
    </w:rPr>
  </w:style>
  <w:style w:type="character" w:customStyle="1" w:styleId="WW8Num50z1">
    <w:name w:val="WW8Num50z1"/>
    <w:rPr>
      <w:rFonts w:ascii="Courier New" w:hAnsi="Courier New" w:cs="Courier New"/>
    </w:rPr>
  </w:style>
  <w:style w:type="character" w:customStyle="1" w:styleId="WW8Num50z2">
    <w:name w:val="WW8Num50z2"/>
    <w:rPr>
      <w:rFonts w:ascii="Wingdings" w:hAnsi="Wingdings"/>
    </w:rPr>
  </w:style>
  <w:style w:type="character" w:customStyle="1" w:styleId="WW8Num52z1">
    <w:name w:val="WW8Num52z1"/>
    <w:rPr>
      <w:rFonts w:ascii="Courier New" w:hAnsi="Courier New"/>
    </w:rPr>
  </w:style>
  <w:style w:type="character" w:customStyle="1" w:styleId="WW8Num52z2">
    <w:name w:val="WW8Num52z2"/>
    <w:rPr>
      <w:rFonts w:ascii="Wingdings" w:hAnsi="Wingdings"/>
    </w:rPr>
  </w:style>
  <w:style w:type="character" w:customStyle="1" w:styleId="WW8Num52z3">
    <w:name w:val="WW8Num52z3"/>
    <w:rPr>
      <w:rFonts w:ascii="Symbol" w:hAnsi="Symbol"/>
    </w:rPr>
  </w:style>
  <w:style w:type="character" w:customStyle="1" w:styleId="WW8Num53z0">
    <w:name w:val="WW8Num53z0"/>
    <w:rPr>
      <w:b/>
    </w:rPr>
  </w:style>
  <w:style w:type="character" w:customStyle="1" w:styleId="WW8Num54z0">
    <w:name w:val="WW8Num54z0"/>
    <w:rPr>
      <w:rFonts w:ascii="Symbol" w:hAnsi="Symbol"/>
      <w:color w:val="auto"/>
    </w:rPr>
  </w:style>
  <w:style w:type="character" w:customStyle="1" w:styleId="WW8Num54z2">
    <w:name w:val="WW8Num54z2"/>
    <w:rPr>
      <w:rFonts w:ascii="Wingdings" w:hAnsi="Wingdings"/>
    </w:rPr>
  </w:style>
  <w:style w:type="character" w:customStyle="1" w:styleId="WW8Num54z3">
    <w:name w:val="WW8Num54z3"/>
    <w:rPr>
      <w:rFonts w:ascii="Symbol" w:hAnsi="Symbol"/>
    </w:rPr>
  </w:style>
  <w:style w:type="character" w:customStyle="1" w:styleId="WW8Num54z4">
    <w:name w:val="WW8Num54z4"/>
    <w:rPr>
      <w:rFonts w:ascii="Courier New" w:hAnsi="Courier New" w:cs="Courier New"/>
    </w:rPr>
  </w:style>
  <w:style w:type="character" w:customStyle="1" w:styleId="13">
    <w:name w:val="Основной шрифт абзаца1"/>
  </w:style>
  <w:style w:type="character" w:customStyle="1" w:styleId="bodytext">
    <w:name w:val="bodytext"/>
    <w:basedOn w:val="13"/>
  </w:style>
  <w:style w:type="character" w:customStyle="1" w:styleId="PEStyleFont4">
    <w:name w:val="PEStyleFont4"/>
    <w:rPr>
      <w:rFonts w:ascii="Arial CYR" w:hAnsi="Arial CYR"/>
      <w:b/>
      <w:i/>
      <w:spacing w:val="0"/>
      <w:position w:val="0"/>
      <w:sz w:val="28"/>
      <w:szCs w:val="28"/>
      <w:u w:val="none"/>
      <w:vertAlign w:val="baseline"/>
    </w:rPr>
  </w:style>
  <w:style w:type="character" w:customStyle="1" w:styleId="PEStyleFont5">
    <w:name w:val="PEStyleFont5"/>
    <w:rPr>
      <w:rFonts w:ascii="Arial CYR" w:hAnsi="Arial CYR"/>
      <w:b/>
      <w:spacing w:val="0"/>
      <w:position w:val="0"/>
      <w:sz w:val="16"/>
      <w:szCs w:val="16"/>
      <w:u w:val="none"/>
      <w:vertAlign w:val="baseline"/>
    </w:rPr>
  </w:style>
  <w:style w:type="character" w:customStyle="1" w:styleId="PEStyleFont6">
    <w:name w:val="PEStyleFont6"/>
    <w:rPr>
      <w:rFonts w:ascii="Arial CYR" w:hAnsi="Arial CYR"/>
      <w:b/>
      <w:spacing w:val="0"/>
      <w:position w:val="0"/>
      <w:sz w:val="16"/>
      <w:szCs w:val="16"/>
      <w:u w:val="none"/>
      <w:vertAlign w:val="baseline"/>
    </w:rPr>
  </w:style>
  <w:style w:type="character" w:customStyle="1" w:styleId="PEStyleFont7">
    <w:name w:val="PEStyleFont7"/>
    <w:rPr>
      <w:rFonts w:ascii="Arial CYR" w:hAnsi="Arial CYR"/>
      <w:spacing w:val="0"/>
      <w:position w:val="0"/>
      <w:sz w:val="16"/>
      <w:szCs w:val="16"/>
      <w:u w:val="none"/>
      <w:vertAlign w:val="baseline"/>
    </w:rPr>
  </w:style>
  <w:style w:type="character" w:customStyle="1" w:styleId="txt1">
    <w:name w:val="txt1"/>
    <w:rPr>
      <w:rFonts w:ascii="Tahoma" w:hAnsi="Tahoma" w:cs="Tahoma"/>
      <w:color w:val="585858"/>
      <w:sz w:val="21"/>
      <w:szCs w:val="21"/>
    </w:rPr>
  </w:style>
  <w:style w:type="character" w:customStyle="1" w:styleId="textblock2">
    <w:name w:val="textblock2"/>
    <w:rPr>
      <w:rFonts w:ascii="Tahoma" w:hAnsi="Tahoma" w:cs="Tahoma"/>
      <w:color w:val="262626"/>
      <w:sz w:val="16"/>
      <w:szCs w:val="16"/>
    </w:rPr>
  </w:style>
  <w:style w:type="character" w:customStyle="1" w:styleId="aff4">
    <w:name w:val="Нумерованный ) Знак"/>
    <w:rPr>
      <w:rFonts w:ascii="Arial" w:hAnsi="Arial"/>
      <w:sz w:val="24"/>
      <w:szCs w:val="28"/>
      <w:lang w:val="ru-RU" w:eastAsia="ar-SA" w:bidi="ar-SA"/>
    </w:rPr>
  </w:style>
  <w:style w:type="character" w:customStyle="1" w:styleId="aff5">
    <w:name w:val="Текст раздела Знак"/>
    <w:rPr>
      <w:rFonts w:ascii="Courier New" w:hAnsi="Courier New" w:cs="Courier New"/>
      <w:b/>
      <w:bCs/>
      <w:i/>
      <w:iCs/>
      <w:lang w:val="ru-RU" w:eastAsia="ar-SA" w:bidi="ar-SA"/>
    </w:rPr>
  </w:style>
  <w:style w:type="character" w:customStyle="1" w:styleId="aff6">
    <w:name w:val="Основной стиль текстовки Знак"/>
    <w:rPr>
      <w:rFonts w:ascii="Courier New" w:hAnsi="Courier New" w:cs="Courier New"/>
      <w:lang w:val="ru-RU" w:eastAsia="ar-SA" w:bidi="ar-SA"/>
    </w:rPr>
  </w:style>
  <w:style w:type="character" w:customStyle="1" w:styleId="14">
    <w:name w:val="Знак примечания1"/>
    <w:rPr>
      <w:sz w:val="16"/>
      <w:szCs w:val="16"/>
    </w:rPr>
  </w:style>
  <w:style w:type="character" w:customStyle="1" w:styleId="aff7">
    <w:name w:val="Символ сноски"/>
    <w:rPr>
      <w:vertAlign w:val="superscript"/>
    </w:rPr>
  </w:style>
  <w:style w:type="character" w:customStyle="1" w:styleId="Subst0">
    <w:name w:val="Subst"/>
    <w:rPr>
      <w:b/>
      <w:i/>
    </w:rPr>
  </w:style>
  <w:style w:type="character" w:customStyle="1" w:styleId="ei1">
    <w:name w:val="ei1"/>
    <w:basedOn w:val="13"/>
  </w:style>
  <w:style w:type="character" w:customStyle="1" w:styleId="aff8">
    <w:name w:val="Текст Знак"/>
    <w:rPr>
      <w:rFonts w:ascii="Courier New" w:hAnsi="Courier New" w:cs="Courier New"/>
      <w:lang w:val="ru-RU" w:eastAsia="ar-SA" w:bidi="ar-SA"/>
    </w:rPr>
  </w:style>
  <w:style w:type="character" w:customStyle="1" w:styleId="aff9">
    <w:name w:val="Символы концевой сноски"/>
    <w:rPr>
      <w:vertAlign w:val="superscript"/>
    </w:rPr>
  </w:style>
  <w:style w:type="character" w:customStyle="1" w:styleId="WW-">
    <w:name w:val="WW-Символы концевой сноски"/>
  </w:style>
  <w:style w:type="character" w:customStyle="1" w:styleId="affa">
    <w:name w:val="Маркеры списка"/>
    <w:rPr>
      <w:rFonts w:ascii="StarSymbol" w:eastAsia="StarSymbol" w:hAnsi="StarSymbol" w:cs="StarSymbol"/>
      <w:sz w:val="18"/>
      <w:szCs w:val="18"/>
    </w:rPr>
  </w:style>
  <w:style w:type="paragraph" w:customStyle="1" w:styleId="15">
    <w:name w:val="Заголовок1"/>
    <w:basedOn w:val="a0"/>
    <w:next w:val="af"/>
    <w:pPr>
      <w:keepNext/>
      <w:spacing w:before="240" w:after="120" w:line="240" w:lineRule="auto"/>
    </w:pPr>
    <w:rPr>
      <w:rFonts w:ascii="Arial" w:eastAsia="MS Mincho" w:hAnsi="Arial" w:cs="Tahoma"/>
      <w:sz w:val="28"/>
      <w:szCs w:val="28"/>
      <w:lang w:eastAsia="ar-SA"/>
    </w:rPr>
  </w:style>
  <w:style w:type="paragraph" w:customStyle="1" w:styleId="16">
    <w:name w:val="Название1"/>
    <w:basedOn w:val="a0"/>
    <w:pPr>
      <w:suppressLineNumbers/>
      <w:spacing w:before="120" w:after="120" w:line="240" w:lineRule="auto"/>
    </w:pPr>
    <w:rPr>
      <w:rFonts w:ascii="Arial" w:eastAsia="Times New Roman" w:hAnsi="Arial" w:cs="Tahoma"/>
      <w:i/>
      <w:iCs/>
      <w:sz w:val="20"/>
      <w:szCs w:val="24"/>
      <w:lang w:eastAsia="ar-SA"/>
    </w:rPr>
  </w:style>
  <w:style w:type="paragraph" w:customStyle="1" w:styleId="17">
    <w:name w:val="Указатель1"/>
    <w:basedOn w:val="a0"/>
    <w:pPr>
      <w:suppressLineNumbers/>
      <w:spacing w:after="0" w:line="240" w:lineRule="auto"/>
    </w:pPr>
    <w:rPr>
      <w:rFonts w:ascii="Arial" w:eastAsia="Times New Roman" w:hAnsi="Arial" w:cs="Tahoma"/>
      <w:sz w:val="24"/>
      <w:szCs w:val="24"/>
      <w:lang w:eastAsia="ar-SA"/>
    </w:rPr>
  </w:style>
  <w:style w:type="paragraph" w:customStyle="1" w:styleId="affb">
    <w:name w:val="Знак"/>
    <w:basedOn w:val="a0"/>
    <w:pPr>
      <w:spacing w:after="160" w:line="240" w:lineRule="exact"/>
    </w:pPr>
    <w:rPr>
      <w:rFonts w:ascii="Verdana" w:eastAsia="Times New Roman" w:hAnsi="Verdana" w:cs="Times New Roman"/>
      <w:sz w:val="20"/>
      <w:szCs w:val="20"/>
      <w:lang w:val="en-US" w:eastAsia="ar-SA"/>
    </w:rPr>
  </w:style>
  <w:style w:type="paragraph" w:customStyle="1" w:styleId="211">
    <w:name w:val="Основной текст с отступом 21"/>
    <w:basedOn w:val="a0"/>
    <w:pPr>
      <w:spacing w:before="120" w:after="0" w:line="252" w:lineRule="auto"/>
      <w:ind w:left="40" w:firstLine="720"/>
      <w:jc w:val="both"/>
    </w:pPr>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pPr>
      <w:tabs>
        <w:tab w:val="left" w:pos="851"/>
      </w:tabs>
      <w:spacing w:before="120" w:after="0" w:line="252" w:lineRule="auto"/>
      <w:ind w:firstLine="425"/>
      <w:jc w:val="both"/>
    </w:pPr>
    <w:rPr>
      <w:rFonts w:ascii="Times New Roman" w:eastAsia="Times New Roman" w:hAnsi="Times New Roman" w:cs="Times New Roman"/>
      <w:sz w:val="24"/>
      <w:szCs w:val="24"/>
      <w:lang w:eastAsia="ar-SA"/>
    </w:rPr>
  </w:style>
  <w:style w:type="paragraph" w:customStyle="1" w:styleId="affc">
    <w:name w:val="Знак Знак Знак Знак Знак Знак Знак"/>
    <w:basedOn w:val="a0"/>
    <w:pPr>
      <w:spacing w:after="160" w:line="240" w:lineRule="exact"/>
    </w:pPr>
    <w:rPr>
      <w:rFonts w:ascii="Verdana" w:eastAsia="Times New Roman" w:hAnsi="Verdana" w:cs="Times New Roman"/>
      <w:sz w:val="20"/>
      <w:szCs w:val="20"/>
      <w:lang w:val="en-US" w:eastAsia="ar-SA"/>
    </w:rPr>
  </w:style>
  <w:style w:type="paragraph" w:customStyle="1" w:styleId="18">
    <w:name w:val="Прощание1"/>
    <w:basedOn w:val="a0"/>
    <w:pPr>
      <w:spacing w:after="0" w:line="290" w:lineRule="atLeast"/>
    </w:pPr>
    <w:rPr>
      <w:rFonts w:ascii="Times New Roman" w:eastAsia="Times New Roman" w:hAnsi="Times New Roman" w:cs="Times New Roman"/>
      <w:sz w:val="24"/>
      <w:szCs w:val="20"/>
      <w:lang w:val="en-GB" w:eastAsia="ar-SA"/>
    </w:rPr>
  </w:style>
  <w:style w:type="paragraph" w:customStyle="1" w:styleId="affd">
    <w:name w:val="Пункт Знак"/>
    <w:basedOn w:val="a0"/>
    <w:pPr>
      <w:tabs>
        <w:tab w:val="left" w:pos="9491"/>
        <w:tab w:val="left" w:pos="9774"/>
        <w:tab w:val="left" w:pos="10080"/>
      </w:tabs>
      <w:spacing w:after="0" w:line="360" w:lineRule="auto"/>
      <w:ind w:left="1440" w:hanging="360"/>
      <w:jc w:val="both"/>
    </w:pPr>
    <w:rPr>
      <w:rFonts w:ascii="Times New Roman" w:eastAsia="Times New Roman" w:hAnsi="Times New Roman" w:cs="Times New Roman"/>
      <w:sz w:val="28"/>
      <w:szCs w:val="20"/>
      <w:lang w:eastAsia="ar-SA"/>
    </w:rPr>
  </w:style>
  <w:style w:type="paragraph" w:customStyle="1" w:styleId="affe">
    <w:name w:val="Подпункт"/>
    <w:basedOn w:val="affd"/>
    <w:pPr>
      <w:tabs>
        <w:tab w:val="left" w:pos="5957"/>
        <w:tab w:val="left" w:pos="6546"/>
        <w:tab w:val="left" w:pos="6829"/>
        <w:tab w:val="left" w:pos="7135"/>
        <w:tab w:val="left" w:pos="7418"/>
        <w:tab w:val="left" w:pos="7724"/>
        <w:tab w:val="left" w:pos="8007"/>
        <w:tab w:val="left" w:pos="8313"/>
        <w:tab w:val="left" w:pos="8596"/>
        <w:tab w:val="left" w:pos="8902"/>
        <w:tab w:val="left" w:pos="9185"/>
      </w:tabs>
      <w:ind w:left="851" w:hanging="851"/>
    </w:pPr>
  </w:style>
  <w:style w:type="paragraph" w:customStyle="1" w:styleId="afff">
    <w:name w:val="Подподпункт"/>
    <w:basedOn w:val="affe"/>
    <w:pPr>
      <w:tabs>
        <w:tab w:val="left" w:pos="6950"/>
        <w:tab w:val="left" w:pos="7539"/>
        <w:tab w:val="left" w:pos="7822"/>
        <w:tab w:val="left" w:pos="7943"/>
        <w:tab w:val="left" w:pos="8128"/>
        <w:tab w:val="left" w:pos="8411"/>
        <w:tab w:val="left" w:pos="8532"/>
        <w:tab w:val="left" w:pos="8717"/>
        <w:tab w:val="left" w:pos="8815"/>
        <w:tab w:val="left" w:pos="8936"/>
        <w:tab w:val="left" w:pos="9000"/>
        <w:tab w:val="left" w:pos="9121"/>
        <w:tab w:val="left" w:pos="9306"/>
        <w:tab w:val="left" w:pos="9404"/>
        <w:tab w:val="left" w:pos="9525"/>
        <w:tab w:val="left" w:pos="9589"/>
        <w:tab w:val="left" w:pos="9710"/>
        <w:tab w:val="left" w:pos="9808"/>
        <w:tab w:val="left" w:pos="9895"/>
        <w:tab w:val="left" w:pos="9929"/>
        <w:tab w:val="left" w:pos="9993"/>
        <w:tab w:val="left" w:pos="10114"/>
        <w:tab w:val="left" w:pos="10178"/>
        <w:tab w:val="left" w:pos="10299"/>
        <w:tab w:val="left" w:pos="10397"/>
        <w:tab w:val="left" w:pos="10484"/>
        <w:tab w:val="left" w:pos="10518"/>
        <w:tab w:val="left" w:pos="10582"/>
        <w:tab w:val="left" w:pos="10703"/>
        <w:tab w:val="left" w:pos="10801"/>
        <w:tab w:val="left" w:pos="10888"/>
        <w:tab w:val="left" w:pos="10922"/>
        <w:tab w:val="left" w:pos="10986"/>
        <w:tab w:val="left" w:pos="11107"/>
        <w:tab w:val="left" w:pos="11292"/>
        <w:tab w:val="left" w:pos="11390"/>
        <w:tab w:val="left" w:pos="11511"/>
        <w:tab w:val="left" w:pos="11696"/>
        <w:tab w:val="left" w:pos="11794"/>
        <w:tab w:val="left" w:pos="12100"/>
        <w:tab w:val="left" w:pos="12198"/>
        <w:tab w:val="left" w:pos="12482"/>
        <w:tab w:val="left" w:pos="12908"/>
      </w:tabs>
      <w:ind w:left="1844" w:hanging="567"/>
    </w:pPr>
  </w:style>
  <w:style w:type="paragraph" w:customStyle="1" w:styleId="afff0">
    <w:name w:val="Подподподпункт"/>
    <w:basedOn w:val="a0"/>
    <w:pPr>
      <w:tabs>
        <w:tab w:val="left" w:pos="22494"/>
        <w:tab w:val="left" w:pos="23061"/>
        <w:tab w:val="left" w:pos="24920"/>
      </w:tabs>
      <w:spacing w:after="0" w:line="360" w:lineRule="auto"/>
      <w:ind w:left="3560" w:hanging="1008"/>
      <w:jc w:val="both"/>
    </w:pPr>
    <w:rPr>
      <w:rFonts w:ascii="Times New Roman" w:eastAsia="Times New Roman" w:hAnsi="Times New Roman" w:cs="Times New Roman"/>
      <w:sz w:val="28"/>
      <w:szCs w:val="20"/>
      <w:lang w:eastAsia="ar-SA"/>
    </w:rPr>
  </w:style>
  <w:style w:type="paragraph" w:customStyle="1" w:styleId="19">
    <w:name w:val="Пункт1"/>
    <w:basedOn w:val="a0"/>
    <w:pPr>
      <w:tabs>
        <w:tab w:val="left" w:pos="3969"/>
      </w:tabs>
      <w:spacing w:before="240" w:after="0" w:line="360" w:lineRule="auto"/>
      <w:ind w:left="567" w:hanging="279"/>
      <w:jc w:val="center"/>
    </w:pPr>
    <w:rPr>
      <w:rFonts w:ascii="Arial" w:eastAsia="Times New Roman" w:hAnsi="Arial" w:cs="Times New Roman"/>
      <w:b/>
      <w:sz w:val="28"/>
      <w:szCs w:val="28"/>
      <w:lang w:eastAsia="ar-SA"/>
    </w:rPr>
  </w:style>
  <w:style w:type="paragraph" w:customStyle="1" w:styleId="FR2">
    <w:name w:val="FR2"/>
    <w:pPr>
      <w:widowControl w:val="0"/>
      <w:spacing w:after="0" w:line="300" w:lineRule="auto"/>
      <w:ind w:firstLine="480"/>
      <w:jc w:val="both"/>
    </w:pPr>
    <w:rPr>
      <w:rFonts w:ascii="Arial" w:eastAsia="Arial" w:hAnsi="Arial" w:cs="Times New Roman"/>
      <w:sz w:val="16"/>
      <w:szCs w:val="20"/>
      <w:lang w:eastAsia="ar-SA"/>
    </w:rPr>
  </w:style>
  <w:style w:type="paragraph" w:customStyle="1" w:styleId="BodyText22">
    <w:name w:val="Body Text 22"/>
    <w:basedOn w:val="a0"/>
    <w:pPr>
      <w:spacing w:before="140" w:after="0" w:line="216" w:lineRule="auto"/>
      <w:ind w:left="400"/>
      <w:jc w:val="both"/>
    </w:pPr>
    <w:rPr>
      <w:rFonts w:ascii="Times New Roman" w:eastAsia="Times New Roman" w:hAnsi="Times New Roman" w:cs="Times New Roman"/>
      <w:sz w:val="24"/>
      <w:szCs w:val="20"/>
      <w:lang w:eastAsia="ar-SA"/>
    </w:rPr>
  </w:style>
  <w:style w:type="paragraph" w:customStyle="1" w:styleId="35">
    <w:name w:val="Знак Знак Знак Знак3"/>
    <w:basedOn w:val="a0"/>
    <w:pPr>
      <w:spacing w:after="160" w:line="240" w:lineRule="exact"/>
      <w:jc w:val="both"/>
    </w:pPr>
    <w:rPr>
      <w:rFonts w:ascii="Verdana" w:eastAsia="Times New Roman" w:hAnsi="Verdana" w:cs="Times New Roman"/>
      <w:sz w:val="20"/>
      <w:szCs w:val="20"/>
      <w:lang w:val="en-US" w:eastAsia="ar-SA"/>
    </w:rPr>
  </w:style>
  <w:style w:type="paragraph" w:customStyle="1" w:styleId="1a">
    <w:name w:val="Нумерованный список1"/>
    <w:basedOn w:val="a0"/>
    <w:pPr>
      <w:spacing w:after="240" w:line="240" w:lineRule="atLeast"/>
      <w:ind w:right="720"/>
      <w:jc w:val="both"/>
    </w:pPr>
    <w:rPr>
      <w:rFonts w:ascii="Garamond" w:eastAsia="Times New Roman" w:hAnsi="Garamond" w:cs="Times New Roman"/>
      <w:sz w:val="24"/>
      <w:szCs w:val="20"/>
      <w:lang w:eastAsia="ar-SA"/>
    </w:rPr>
  </w:style>
  <w:style w:type="paragraph" w:customStyle="1" w:styleId="afff1">
    <w:name w:val="Глава"/>
    <w:basedOn w:val="1"/>
    <w:pPr>
      <w:spacing w:line="360" w:lineRule="auto"/>
      <w:ind w:firstLine="720"/>
      <w:jc w:val="right"/>
    </w:pPr>
    <w:rPr>
      <w:b w:val="0"/>
      <w:bCs w:val="0"/>
      <w:sz w:val="28"/>
      <w:szCs w:val="20"/>
      <w:lang w:val="en-US" w:eastAsia="ar-SA"/>
    </w:rPr>
  </w:style>
  <w:style w:type="paragraph" w:customStyle="1" w:styleId="320">
    <w:name w:val="Основной текст 32"/>
    <w:basedOn w:val="a0"/>
    <w:pPr>
      <w:spacing w:after="120" w:line="240" w:lineRule="auto"/>
    </w:pPr>
    <w:rPr>
      <w:rFonts w:ascii="Times New Roman" w:eastAsia="Times New Roman" w:hAnsi="Times New Roman" w:cs="Times New Roman"/>
      <w:sz w:val="16"/>
      <w:szCs w:val="16"/>
      <w:lang w:eastAsia="ar-SA"/>
    </w:rPr>
  </w:style>
  <w:style w:type="paragraph" w:customStyle="1" w:styleId="120">
    <w:name w:val="Заголовок 1.2"/>
    <w:basedOn w:val="a0"/>
    <w:pPr>
      <w:spacing w:before="120" w:after="120" w:line="240" w:lineRule="auto"/>
      <w:ind w:firstLine="567"/>
      <w:jc w:val="both"/>
    </w:pPr>
    <w:rPr>
      <w:rFonts w:ascii="Arial" w:eastAsia="Times New Roman" w:hAnsi="Arial" w:cs="Times New Roman"/>
      <w:i/>
      <w:color w:val="000000"/>
      <w:sz w:val="28"/>
      <w:szCs w:val="20"/>
      <w:lang w:eastAsia="ar-SA"/>
    </w:rPr>
  </w:style>
  <w:style w:type="paragraph" w:customStyle="1" w:styleId="SubHeading">
    <w:name w:val="Sub Heading"/>
    <w:pPr>
      <w:widowControl w:val="0"/>
      <w:spacing w:before="80" w:after="20" w:line="240" w:lineRule="auto"/>
    </w:pPr>
    <w:rPr>
      <w:rFonts w:ascii="Times New Roman" w:eastAsia="Arial" w:hAnsi="Times New Roman" w:cs="Times New Roman"/>
      <w:sz w:val="20"/>
      <w:szCs w:val="20"/>
      <w:lang w:eastAsia="ar-SA"/>
    </w:rPr>
  </w:style>
  <w:style w:type="paragraph" w:customStyle="1" w:styleId="xl30">
    <w:name w:val="xl30"/>
    <w:basedOn w:val="a0"/>
    <w:pPr>
      <w:pBdr>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ff2">
    <w:name w:val="т_значения"/>
    <w:basedOn w:val="a0"/>
    <w:pPr>
      <w:spacing w:after="0" w:line="240" w:lineRule="auto"/>
      <w:jc w:val="center"/>
    </w:pPr>
    <w:rPr>
      <w:rFonts w:ascii="Times New Roman" w:eastAsia="Times New Roman" w:hAnsi="Times New Roman" w:cs="Times New Roman"/>
      <w:sz w:val="20"/>
      <w:szCs w:val="20"/>
      <w:lang w:eastAsia="ar-SA"/>
    </w:rPr>
  </w:style>
  <w:style w:type="paragraph" w:customStyle="1" w:styleId="1b">
    <w:name w:val="Цитата1"/>
    <w:basedOn w:val="a0"/>
    <w:pPr>
      <w:spacing w:after="0" w:line="240" w:lineRule="auto"/>
      <w:ind w:left="-284" w:right="-70" w:firstLine="568"/>
      <w:jc w:val="both"/>
    </w:pPr>
    <w:rPr>
      <w:rFonts w:ascii="Times New Roman" w:eastAsia="Times New Roman" w:hAnsi="Times New Roman" w:cs="Times New Roman"/>
      <w:b/>
      <w:bCs/>
      <w:i/>
      <w:iCs/>
      <w:lang w:eastAsia="ar-SA"/>
    </w:rPr>
  </w:style>
  <w:style w:type="paragraph" w:customStyle="1" w:styleId="311">
    <w:name w:val="Основной текст 31"/>
    <w:basedOn w:val="a0"/>
    <w:pPr>
      <w:spacing w:before="20" w:after="0" w:line="240" w:lineRule="auto"/>
    </w:pPr>
    <w:rPr>
      <w:rFonts w:ascii="Times New Roman" w:eastAsia="Times New Roman" w:hAnsi="Times New Roman" w:cs="Times New Roman"/>
      <w:sz w:val="24"/>
      <w:szCs w:val="20"/>
      <w:lang w:eastAsia="ar-SA"/>
    </w:rPr>
  </w:style>
  <w:style w:type="paragraph" w:customStyle="1" w:styleId="29">
    <w:name w:val="Цитата2"/>
    <w:basedOn w:val="a0"/>
    <w:pPr>
      <w:widowControl w:val="0"/>
      <w:spacing w:after="0" w:line="300" w:lineRule="auto"/>
      <w:ind w:left="760" w:right="1004" w:hanging="420"/>
      <w:jc w:val="both"/>
    </w:pPr>
    <w:rPr>
      <w:rFonts w:ascii="Times New Roman" w:eastAsia="Times New Roman" w:hAnsi="Times New Roman" w:cs="Times New Roman"/>
      <w:sz w:val="24"/>
      <w:szCs w:val="20"/>
      <w:lang w:eastAsia="ar-SA"/>
    </w:rPr>
  </w:style>
  <w:style w:type="paragraph" w:customStyle="1" w:styleId="110">
    <w:name w:val="Заголовок 1.1"/>
    <w:basedOn w:val="1"/>
    <w:pPr>
      <w:spacing w:before="240" w:after="60" w:line="360" w:lineRule="auto"/>
      <w:jc w:val="left"/>
    </w:pPr>
    <w:rPr>
      <w:rFonts w:ascii="Arial" w:hAnsi="Arial" w:cs="Arial"/>
      <w:b w:val="0"/>
      <w:i/>
      <w:sz w:val="28"/>
      <w:szCs w:val="32"/>
      <w:u w:val="single"/>
      <w:lang w:eastAsia="ar-SA"/>
    </w:rPr>
  </w:style>
  <w:style w:type="paragraph" w:customStyle="1" w:styleId="1c">
    <w:name w:val="Обычный1"/>
    <w:pPr>
      <w:spacing w:after="0" w:line="240" w:lineRule="auto"/>
    </w:pPr>
    <w:rPr>
      <w:rFonts w:ascii="AGOpus" w:eastAsia="Arial" w:hAnsi="AGOpus" w:cs="Times New Roman"/>
      <w:color w:val="000000"/>
      <w:szCs w:val="20"/>
      <w:lang w:eastAsia="ar-SA"/>
    </w:rPr>
  </w:style>
  <w:style w:type="paragraph" w:customStyle="1" w:styleId="130">
    <w:name w:val="Стиль1.3"/>
    <w:basedOn w:val="3"/>
    <w:pPr>
      <w:spacing w:before="240" w:after="60"/>
      <w:ind w:firstLine="720"/>
      <w:jc w:val="left"/>
    </w:pPr>
    <w:rPr>
      <w:rFonts w:ascii="Arial" w:hAnsi="Arial" w:cs="Arial"/>
      <w:b w:val="0"/>
      <w:i/>
      <w:sz w:val="26"/>
      <w:szCs w:val="26"/>
      <w:lang w:eastAsia="ar-SA"/>
    </w:rPr>
  </w:style>
  <w:style w:type="paragraph" w:customStyle="1" w:styleId="131">
    <w:name w:val="Заголовок 1.3."/>
    <w:basedOn w:val="3"/>
    <w:next w:val="3"/>
    <w:pPr>
      <w:spacing w:before="240" w:after="60"/>
      <w:ind w:firstLine="720"/>
      <w:jc w:val="left"/>
    </w:pPr>
    <w:rPr>
      <w:rFonts w:ascii="Arial" w:hAnsi="Arial" w:cs="Arial"/>
      <w:b w:val="0"/>
      <w:i/>
      <w:sz w:val="26"/>
      <w:szCs w:val="26"/>
      <w:lang w:eastAsia="ar-SA"/>
    </w:rPr>
  </w:style>
  <w:style w:type="paragraph" w:customStyle="1" w:styleId="FR3">
    <w:name w:val="FR3"/>
    <w:pPr>
      <w:widowControl w:val="0"/>
      <w:spacing w:after="0" w:line="240" w:lineRule="auto"/>
    </w:pPr>
    <w:rPr>
      <w:rFonts w:ascii="Times New Roman" w:eastAsia="Arial" w:hAnsi="Times New Roman" w:cs="Times New Roman"/>
      <w:szCs w:val="20"/>
      <w:lang w:eastAsia="ar-SA"/>
    </w:rPr>
  </w:style>
  <w:style w:type="paragraph" w:customStyle="1" w:styleId="1d">
    <w:name w:val="Текст1"/>
    <w:basedOn w:val="16"/>
  </w:style>
  <w:style w:type="paragraph" w:customStyle="1" w:styleId="WW-0">
    <w:name w:val="WW-Текст"/>
    <w:basedOn w:val="a0"/>
    <w:pPr>
      <w:spacing w:after="0" w:line="240" w:lineRule="auto"/>
    </w:pPr>
    <w:rPr>
      <w:rFonts w:ascii="Courier New" w:eastAsia="Times New Roman" w:hAnsi="Courier New" w:cs="Courier New"/>
      <w:sz w:val="20"/>
      <w:szCs w:val="20"/>
      <w:lang w:eastAsia="ar-SA"/>
    </w:rPr>
  </w:style>
  <w:style w:type="paragraph" w:customStyle="1" w:styleId="PEStylePara2">
    <w:name w:val="PEStylePara2"/>
    <w:basedOn w:val="a0"/>
    <w:next w:val="a0"/>
    <w:pPr>
      <w:keepNext/>
      <w:keepLines/>
      <w:spacing w:after="0" w:line="240" w:lineRule="auto"/>
      <w:jc w:val="center"/>
    </w:pPr>
    <w:rPr>
      <w:rFonts w:ascii="Courier New" w:eastAsia="Times New Roman" w:hAnsi="Courier New" w:cs="Courier New"/>
      <w:sz w:val="20"/>
      <w:szCs w:val="20"/>
      <w:lang w:eastAsia="ar-SA"/>
    </w:rPr>
  </w:style>
  <w:style w:type="paragraph" w:customStyle="1" w:styleId="1e">
    <w:name w:val="Основной текст1"/>
    <w:basedOn w:val="1c"/>
    <w:pPr>
      <w:jc w:val="center"/>
    </w:pPr>
    <w:rPr>
      <w:sz w:val="36"/>
    </w:rPr>
  </w:style>
  <w:style w:type="paragraph" w:customStyle="1" w:styleId="H1">
    <w:name w:val="H1"/>
    <w:basedOn w:val="a0"/>
    <w:next w:val="a0"/>
    <w:pPr>
      <w:keepNext/>
      <w:spacing w:before="100" w:after="100" w:line="240" w:lineRule="auto"/>
    </w:pPr>
    <w:rPr>
      <w:rFonts w:ascii="Times New Roman" w:eastAsia="Times New Roman" w:hAnsi="Times New Roman" w:cs="Times New Roman"/>
      <w:b/>
      <w:sz w:val="48"/>
      <w:szCs w:val="20"/>
      <w:lang w:eastAsia="ar-SA"/>
    </w:rPr>
  </w:style>
  <w:style w:type="paragraph" w:customStyle="1" w:styleId="111">
    <w:name w:val="Заголовок 11"/>
    <w:basedOn w:val="1c"/>
    <w:next w:val="1e"/>
    <w:pPr>
      <w:keepNext/>
      <w:keepLines/>
      <w:pBdr>
        <w:top w:val="single" w:sz="4" w:space="6" w:color="808080"/>
        <w:bottom w:val="single" w:sz="4" w:space="6" w:color="808080"/>
      </w:pBdr>
      <w:spacing w:after="240" w:line="240" w:lineRule="atLeast"/>
      <w:jc w:val="center"/>
    </w:pPr>
    <w:rPr>
      <w:rFonts w:ascii="Garamond" w:hAnsi="Garamond"/>
      <w:b/>
      <w:caps/>
      <w:color w:val="auto"/>
      <w:spacing w:val="20"/>
      <w:sz w:val="18"/>
    </w:rPr>
  </w:style>
  <w:style w:type="paragraph" w:customStyle="1" w:styleId="212">
    <w:name w:val="Список 21"/>
    <w:basedOn w:val="a0"/>
    <w:pPr>
      <w:widowControl w:val="0"/>
      <w:spacing w:before="40" w:after="0" w:line="240" w:lineRule="auto"/>
      <w:ind w:left="566" w:hanging="283"/>
    </w:pPr>
    <w:rPr>
      <w:rFonts w:ascii="Times New Roman" w:eastAsia="Times New Roman" w:hAnsi="Times New Roman" w:cs="Times New Roman"/>
      <w:lang w:eastAsia="ar-SA"/>
    </w:rPr>
  </w:style>
  <w:style w:type="paragraph" w:customStyle="1" w:styleId="312">
    <w:name w:val="Заголовок 31"/>
    <w:pPr>
      <w:widowControl w:val="0"/>
      <w:spacing w:before="240" w:after="40" w:line="240" w:lineRule="auto"/>
    </w:pPr>
    <w:rPr>
      <w:rFonts w:ascii="Times New Roman" w:eastAsia="Arial" w:hAnsi="Times New Roman" w:cs="Times New Roman"/>
      <w:b/>
      <w:bCs/>
      <w:lang w:eastAsia="ar-SA"/>
    </w:rPr>
  </w:style>
  <w:style w:type="paragraph" w:customStyle="1" w:styleId="220">
    <w:name w:val="Основной текст 22"/>
    <w:basedOn w:val="1c"/>
    <w:pPr>
      <w:ind w:left="720"/>
      <w:jc w:val="both"/>
    </w:pPr>
    <w:rPr>
      <w:rFonts w:ascii="Garamond" w:hAnsi="Garamond"/>
      <w:sz w:val="28"/>
    </w:rPr>
  </w:style>
  <w:style w:type="paragraph" w:customStyle="1" w:styleId="ConsNormal">
    <w:name w:val="ConsNormal"/>
    <w:pPr>
      <w:widowControl w:val="0"/>
      <w:spacing w:after="0" w:line="240" w:lineRule="auto"/>
      <w:ind w:firstLine="720"/>
    </w:pPr>
    <w:rPr>
      <w:rFonts w:ascii="Arial" w:eastAsia="Arial" w:hAnsi="Arial" w:cs="Arial"/>
      <w:sz w:val="20"/>
      <w:szCs w:val="20"/>
      <w:lang w:eastAsia="ar-SA"/>
    </w:rPr>
  </w:style>
  <w:style w:type="paragraph" w:customStyle="1" w:styleId="ConsNonformat">
    <w:name w:val="ConsNonformat"/>
    <w:pPr>
      <w:widowControl w:val="0"/>
      <w:spacing w:after="0" w:line="240" w:lineRule="auto"/>
    </w:pPr>
    <w:rPr>
      <w:rFonts w:ascii="Courier New" w:eastAsia="Arial" w:hAnsi="Courier New" w:cs="Courier New"/>
      <w:sz w:val="20"/>
      <w:szCs w:val="20"/>
      <w:lang w:eastAsia="ar-SA"/>
    </w:rPr>
  </w:style>
  <w:style w:type="paragraph" w:customStyle="1" w:styleId="lbs">
    <w:name w:val="lbs"/>
    <w:basedOn w:val="a0"/>
    <w:pPr>
      <w:spacing w:before="280" w:after="280" w:line="240" w:lineRule="auto"/>
    </w:pPr>
    <w:rPr>
      <w:rFonts w:ascii="Tahoma" w:eastAsia="Times New Roman" w:hAnsi="Tahoma" w:cs="Tahoma"/>
      <w:b/>
      <w:bCs/>
      <w:color w:val="000000"/>
      <w:sz w:val="17"/>
      <w:szCs w:val="17"/>
      <w:lang w:eastAsia="ar-SA"/>
    </w:rPr>
  </w:style>
  <w:style w:type="paragraph" w:customStyle="1" w:styleId="xl24">
    <w:name w:val="xl24"/>
    <w:basedOn w:val="a0"/>
    <w:pPr>
      <w:pBdr>
        <w:left w:val="single" w:sz="4" w:space="0" w:color="000000"/>
        <w:bottom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xl25">
    <w:name w:val="xl25"/>
    <w:basedOn w:val="a0"/>
    <w:pPr>
      <w:pBdr>
        <w:left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xl26">
    <w:name w:val="xl26"/>
    <w:basedOn w:val="a0"/>
    <w:pPr>
      <w:pBdr>
        <w:left w:val="single" w:sz="4" w:space="0" w:color="000000"/>
        <w:bottom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xl27">
    <w:name w:val="xl27"/>
    <w:basedOn w:val="a0"/>
    <w:pPr>
      <w:pBdr>
        <w:left w:val="single" w:sz="4" w:space="0" w:color="000000"/>
        <w:bottom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xl28">
    <w:name w:val="xl28"/>
    <w:basedOn w:val="a0"/>
    <w:pPr>
      <w:pBdr>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29">
    <w:name w:val="xl29"/>
    <w:basedOn w:val="a0"/>
    <w:pPr>
      <w:pBdr>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1">
    <w:name w:val="xl31"/>
    <w:basedOn w:val="a0"/>
    <w:pPr>
      <w:pBdr>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2">
    <w:name w:val="xl32"/>
    <w:basedOn w:val="a0"/>
    <w:pPr>
      <w:pBdr>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3">
    <w:name w:val="xl33"/>
    <w:basedOn w:val="a0"/>
    <w:pPr>
      <w:pBdr>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4">
    <w:name w:val="xl34"/>
    <w:basedOn w:val="a0"/>
    <w:pPr>
      <w:pBdr>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5">
    <w:name w:val="xl35"/>
    <w:basedOn w:val="a0"/>
    <w:pPr>
      <w:pBdr>
        <w:left w:val="single" w:sz="4" w:space="0" w:color="000000"/>
        <w:right w:val="single" w:sz="4" w:space="0" w:color="000000"/>
      </w:pBdr>
      <w:spacing w:before="280" w:after="280" w:line="240" w:lineRule="auto"/>
    </w:pPr>
    <w:rPr>
      <w:rFonts w:ascii="Arial CYR" w:eastAsia="Arial Unicode MS" w:hAnsi="Arial CYR" w:cs="Arial CYR"/>
      <w:b/>
      <w:bCs/>
      <w:sz w:val="24"/>
      <w:szCs w:val="24"/>
      <w:lang w:eastAsia="ar-SA"/>
    </w:rPr>
  </w:style>
  <w:style w:type="paragraph" w:customStyle="1" w:styleId="xl36">
    <w:name w:val="xl36"/>
    <w:basedOn w:val="a0"/>
    <w:pPr>
      <w:pBdr>
        <w:left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xl37">
    <w:name w:val="xl37"/>
    <w:basedOn w:val="a0"/>
    <w:pPr>
      <w:pBdr>
        <w:left w:val="single" w:sz="4" w:space="0" w:color="000000"/>
        <w:right w:val="single" w:sz="4" w:space="0" w:color="000000"/>
      </w:pBdr>
      <w:spacing w:before="280" w:after="280" w:line="240" w:lineRule="auto"/>
    </w:pPr>
    <w:rPr>
      <w:rFonts w:ascii="Arial CYR" w:eastAsia="Arial Unicode MS" w:hAnsi="Arial CYR" w:cs="Arial CYR"/>
      <w:b/>
      <w:bCs/>
      <w:sz w:val="24"/>
      <w:szCs w:val="24"/>
      <w:lang w:eastAsia="ar-SA"/>
    </w:rPr>
  </w:style>
  <w:style w:type="paragraph" w:customStyle="1" w:styleId="xl38">
    <w:name w:val="xl38"/>
    <w:basedOn w:val="a0"/>
    <w:pPr>
      <w:pBdr>
        <w:left w:val="single" w:sz="4" w:space="0" w:color="000000"/>
        <w:right w:val="single" w:sz="4" w:space="0" w:color="000000"/>
      </w:pBdr>
      <w:spacing w:before="280" w:after="280" w:line="240" w:lineRule="auto"/>
    </w:pPr>
    <w:rPr>
      <w:rFonts w:ascii="Arial Unicode MS" w:eastAsia="Arial Unicode MS" w:hAnsi="Arial Unicode MS" w:cs="Arial Unicode MS"/>
      <w:sz w:val="24"/>
      <w:szCs w:val="24"/>
      <w:lang w:eastAsia="ar-SA"/>
    </w:rPr>
  </w:style>
  <w:style w:type="paragraph" w:customStyle="1" w:styleId="afff3">
    <w:name w:val="a"/>
    <w:basedOn w:val="a0"/>
    <w:pPr>
      <w:spacing w:before="280" w:after="280" w:line="240" w:lineRule="auto"/>
    </w:pPr>
    <w:rPr>
      <w:rFonts w:ascii="Times New Roman" w:eastAsia="Times New Roman" w:hAnsi="Times New Roman" w:cs="Times New Roman"/>
      <w:sz w:val="24"/>
      <w:szCs w:val="24"/>
      <w:lang w:eastAsia="ar-SA"/>
    </w:rPr>
  </w:style>
  <w:style w:type="paragraph" w:customStyle="1" w:styleId="1f">
    <w:name w:val="Название объекта1"/>
    <w:basedOn w:val="a0"/>
    <w:next w:val="a0"/>
    <w:pPr>
      <w:spacing w:after="0" w:line="240" w:lineRule="auto"/>
      <w:ind w:firstLine="720"/>
    </w:pPr>
    <w:rPr>
      <w:rFonts w:ascii="Times New Roman" w:eastAsia="Times New Roman" w:hAnsi="Times New Roman" w:cs="Times New Roman"/>
      <w:b/>
      <w:bCs/>
      <w:sz w:val="20"/>
      <w:szCs w:val="20"/>
      <w:lang w:eastAsia="ar-SA"/>
    </w:rPr>
  </w:style>
  <w:style w:type="paragraph" w:customStyle="1" w:styleId="BaseText2">
    <w:name w:val="BaseText2"/>
    <w:basedOn w:val="2"/>
    <w:pPr>
      <w:keepNext w:val="0"/>
      <w:spacing w:before="120" w:line="360" w:lineRule="atLeast"/>
      <w:ind w:left="284"/>
    </w:pPr>
    <w:rPr>
      <w:rFonts w:ascii="Arial" w:hAnsi="Arial" w:cs="Arial"/>
      <w:b w:val="0"/>
      <w:bCs w:val="0"/>
      <w:sz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pPr>
      <w:spacing w:after="0" w:line="240" w:lineRule="auto"/>
    </w:pPr>
    <w:rPr>
      <w:rFonts w:ascii="Verdana" w:eastAsia="Times New Roman" w:hAnsi="Verdana" w:cs="Times New Roman"/>
      <w:sz w:val="20"/>
      <w:szCs w:val="20"/>
      <w:lang w:val="en-US" w:eastAsia="ar-SA"/>
    </w:rPr>
  </w:style>
  <w:style w:type="paragraph" w:customStyle="1" w:styleId="textblock">
    <w:name w:val="textblock"/>
    <w:basedOn w:val="a0"/>
    <w:pPr>
      <w:spacing w:before="280" w:after="280" w:line="336" w:lineRule="atLeast"/>
    </w:pPr>
    <w:rPr>
      <w:rFonts w:ascii="Tahoma" w:eastAsia="Times New Roman" w:hAnsi="Tahoma" w:cs="Tahoma"/>
      <w:color w:val="262626"/>
      <w:sz w:val="21"/>
      <w:szCs w:val="21"/>
      <w:lang w:eastAsia="ar-SA"/>
    </w:rPr>
  </w:style>
  <w:style w:type="paragraph" w:customStyle="1" w:styleId="textblock1">
    <w:name w:val="textblock1"/>
    <w:basedOn w:val="a0"/>
    <w:pPr>
      <w:spacing w:before="150" w:after="150" w:line="240" w:lineRule="auto"/>
    </w:pPr>
    <w:rPr>
      <w:rFonts w:ascii="Tahoma" w:eastAsia="Times New Roman" w:hAnsi="Tahoma" w:cs="Tahoma"/>
      <w:b/>
      <w:bCs/>
      <w:i/>
      <w:iCs/>
      <w:color w:val="262626"/>
      <w:sz w:val="21"/>
      <w:szCs w:val="21"/>
      <w:lang w:eastAsia="ar-SA"/>
    </w:rPr>
  </w:style>
  <w:style w:type="paragraph" w:customStyle="1" w:styleId="1f0">
    <w:name w:val="Текст примечания1"/>
    <w:basedOn w:val="a0"/>
    <w:pPr>
      <w:spacing w:after="0" w:line="240" w:lineRule="auto"/>
    </w:pPr>
    <w:rPr>
      <w:rFonts w:ascii="Times New Roman" w:eastAsia="Times New Roman" w:hAnsi="Times New Roman" w:cs="Times New Roman"/>
      <w:sz w:val="20"/>
      <w:szCs w:val="20"/>
      <w:lang w:eastAsia="ar-SA"/>
    </w:rPr>
  </w:style>
  <w:style w:type="paragraph" w:customStyle="1" w:styleId="just">
    <w:name w:val="just"/>
    <w:basedOn w:val="a0"/>
    <w:pPr>
      <w:spacing w:before="120" w:after="120" w:line="240" w:lineRule="auto"/>
      <w:jc w:val="both"/>
    </w:pPr>
    <w:rPr>
      <w:rFonts w:ascii="Times New Roman" w:eastAsia="Times New Roman" w:hAnsi="Times New Roman" w:cs="Times New Roman"/>
      <w:sz w:val="16"/>
      <w:szCs w:val="16"/>
      <w:lang w:eastAsia="ar-SA"/>
    </w:rPr>
  </w:style>
  <w:style w:type="paragraph" w:customStyle="1" w:styleId="afff4">
    <w:name w:val="Письмо"/>
    <w:basedOn w:val="a0"/>
    <w:pPr>
      <w:spacing w:after="0" w:line="320" w:lineRule="exact"/>
      <w:ind w:firstLine="720"/>
      <w:jc w:val="both"/>
    </w:pPr>
    <w:rPr>
      <w:rFonts w:ascii="Times New Roman" w:eastAsia="Times New Roman" w:hAnsi="Times New Roman" w:cs="Times New Roman"/>
      <w:sz w:val="28"/>
      <w:szCs w:val="28"/>
      <w:lang w:eastAsia="ar-SA"/>
    </w:rPr>
  </w:style>
  <w:style w:type="paragraph" w:customStyle="1" w:styleId="1f1">
    <w:name w:val="Стиль1"/>
    <w:basedOn w:val="1f2"/>
    <w:next w:val="212"/>
    <w:pPr>
      <w:tabs>
        <w:tab w:val="left" w:pos="5040"/>
        <w:tab w:val="left" w:pos="6000"/>
        <w:tab w:val="right" w:leader="dot" w:pos="10506"/>
        <w:tab w:val="right" w:leader="dot" w:pos="11226"/>
        <w:tab w:val="right" w:leader="dot" w:pos="11946"/>
        <w:tab w:val="right" w:leader="dot" w:pos="12666"/>
        <w:tab w:val="right" w:leader="dot" w:pos="13386"/>
        <w:tab w:val="right" w:leader="dot" w:pos="13947"/>
        <w:tab w:val="right" w:pos="18880"/>
      </w:tabs>
      <w:spacing w:before="360"/>
      <w:ind w:left="720" w:hanging="360"/>
    </w:pPr>
    <w:rPr>
      <w:rFonts w:ascii="Tahoma" w:hAnsi="Tahoma" w:cs="Tahoma"/>
      <w:b w:val="0"/>
      <w:bCs w:val="0"/>
      <w:i/>
      <w:iCs w:val="0"/>
      <w:caps/>
      <w:sz w:val="28"/>
      <w:szCs w:val="28"/>
    </w:rPr>
  </w:style>
  <w:style w:type="paragraph" w:styleId="1f2">
    <w:name w:val="toc 1"/>
    <w:basedOn w:val="a0"/>
    <w:next w:val="a0"/>
    <w:uiPriority w:val="39"/>
    <w:pPr>
      <w:tabs>
        <w:tab w:val="right" w:leader="dot" w:pos="9786"/>
      </w:tabs>
      <w:spacing w:after="0" w:line="240" w:lineRule="auto"/>
      <w:jc w:val="both"/>
    </w:pPr>
    <w:rPr>
      <w:rFonts w:ascii="Times New Roman" w:eastAsia="Times New Roman" w:hAnsi="Times New Roman" w:cs="Times New Roman"/>
      <w:b/>
      <w:bCs/>
      <w:iCs/>
      <w:sz w:val="26"/>
      <w:szCs w:val="24"/>
      <w:lang w:eastAsia="ar-SA"/>
    </w:rPr>
  </w:style>
  <w:style w:type="paragraph" w:customStyle="1" w:styleId="prilozhenieglava">
    <w:name w:val="prilozhenie glava"/>
    <w:basedOn w:val="a0"/>
    <w:pPr>
      <w:spacing w:before="240" w:after="240" w:line="240" w:lineRule="auto"/>
      <w:jc w:val="center"/>
    </w:pPr>
    <w:rPr>
      <w:rFonts w:ascii="Times New Roman" w:eastAsia="Times New Roman" w:hAnsi="Times New Roman" w:cs="Times New Roman"/>
      <w:b/>
      <w:bCs/>
      <w:caps/>
      <w:sz w:val="24"/>
      <w:szCs w:val="24"/>
      <w:lang w:eastAsia="ar-SA"/>
    </w:rPr>
  </w:style>
  <w:style w:type="paragraph" w:customStyle="1" w:styleId="BCTitle">
    <w:name w:val="BC Title"/>
    <w:basedOn w:val="a0"/>
    <w:next w:val="a0"/>
    <w:pPr>
      <w:spacing w:before="60" w:after="60" w:line="240" w:lineRule="auto"/>
      <w:jc w:val="center"/>
    </w:pPr>
    <w:rPr>
      <w:rFonts w:ascii="Arial" w:eastAsia="Times New Roman" w:hAnsi="Arial" w:cs="Arial"/>
      <w:b/>
      <w:sz w:val="44"/>
      <w:szCs w:val="24"/>
      <w:lang w:eastAsia="ar-SA"/>
    </w:rPr>
  </w:style>
  <w:style w:type="paragraph" w:customStyle="1" w:styleId="MainTXT">
    <w:name w:val="MainTXT"/>
    <w:basedOn w:val="a0"/>
    <w:pPr>
      <w:widowControl w:val="0"/>
      <w:spacing w:after="0" w:line="360" w:lineRule="auto"/>
      <w:ind w:left="142" w:firstLine="709"/>
      <w:jc w:val="both"/>
    </w:pPr>
    <w:rPr>
      <w:rFonts w:ascii="Arial" w:eastAsia="Times New Roman" w:hAnsi="Arial" w:cs="Times New Roman"/>
      <w:sz w:val="24"/>
      <w:szCs w:val="20"/>
      <w:lang w:eastAsia="ar-SA"/>
    </w:rPr>
  </w:style>
  <w:style w:type="paragraph" w:customStyle="1" w:styleId="FMainTXT">
    <w:name w:val="FMainTXT"/>
    <w:basedOn w:val="a0"/>
    <w:pPr>
      <w:spacing w:before="120" w:after="0" w:line="360" w:lineRule="auto"/>
      <w:ind w:left="142" w:firstLine="709"/>
      <w:jc w:val="both"/>
    </w:pPr>
    <w:rPr>
      <w:rFonts w:ascii="Arial" w:eastAsia="Times New Roman" w:hAnsi="Arial" w:cs="Times New Roman"/>
      <w:sz w:val="24"/>
      <w:szCs w:val="20"/>
      <w:lang w:eastAsia="ar-SA"/>
    </w:rPr>
  </w:style>
  <w:style w:type="paragraph" w:customStyle="1" w:styleId="2a">
    <w:name w:val="Знак2"/>
    <w:basedOn w:val="a0"/>
    <w:pPr>
      <w:spacing w:after="160" w:line="240" w:lineRule="exact"/>
    </w:pPr>
    <w:rPr>
      <w:rFonts w:ascii="Verdana" w:eastAsia="Times New Roman" w:hAnsi="Verdana" w:cs="Times New Roman"/>
      <w:sz w:val="20"/>
      <w:szCs w:val="20"/>
      <w:lang w:val="en-US" w:eastAsia="ar-SA"/>
    </w:rPr>
  </w:style>
  <w:style w:type="paragraph" w:customStyle="1" w:styleId="afff5">
    <w:name w:val="Знак Знак Знак Знак Знак Знак"/>
    <w:basedOn w:val="a0"/>
    <w:next w:val="1"/>
    <w:pPr>
      <w:spacing w:after="160" w:line="240" w:lineRule="exact"/>
      <w:jc w:val="both"/>
    </w:pPr>
    <w:rPr>
      <w:rFonts w:ascii="Verdana" w:eastAsia="Times New Roman" w:hAnsi="Verdana" w:cs="Times New Roman"/>
      <w:sz w:val="20"/>
      <w:szCs w:val="20"/>
      <w:lang w:val="en-US" w:eastAsia="ar-SA"/>
    </w:rPr>
  </w:style>
  <w:style w:type="paragraph" w:styleId="afff6">
    <w:name w:val="No Spacing"/>
    <w:link w:val="afff7"/>
    <w:uiPriority w:val="1"/>
    <w:qFormat/>
    <w:pPr>
      <w:spacing w:after="0" w:line="240" w:lineRule="auto"/>
    </w:pPr>
    <w:rPr>
      <w:rFonts w:ascii="Calibri" w:eastAsia="Calibri" w:hAnsi="Calibri" w:cs="Times New Roman"/>
      <w:lang w:eastAsia="ar-SA"/>
    </w:rPr>
  </w:style>
  <w:style w:type="paragraph" w:customStyle="1" w:styleId="ac0">
    <w:name w:val="ac"/>
    <w:basedOn w:val="a0"/>
    <w:pPr>
      <w:spacing w:before="280" w:after="280" w:line="240" w:lineRule="auto"/>
      <w:jc w:val="center"/>
    </w:pPr>
    <w:rPr>
      <w:rFonts w:ascii="Verdana" w:eastAsia="Arial Unicode MS" w:hAnsi="Verdana" w:cs="Arial Unicode MS"/>
      <w:color w:val="000000"/>
      <w:sz w:val="20"/>
      <w:szCs w:val="20"/>
      <w:lang w:eastAsia="ar-SA"/>
    </w:rPr>
  </w:style>
  <w:style w:type="paragraph" w:customStyle="1" w:styleId="afff8">
    <w:name w:val="Нумерованный )"/>
    <w:basedOn w:val="a0"/>
    <w:pPr>
      <w:spacing w:after="0" w:line="240" w:lineRule="auto"/>
      <w:ind w:left="-709"/>
      <w:jc w:val="both"/>
    </w:pPr>
    <w:rPr>
      <w:rFonts w:ascii="Arial" w:eastAsia="Times New Roman" w:hAnsi="Arial" w:cs="Times New Roman"/>
      <w:sz w:val="24"/>
      <w:szCs w:val="28"/>
      <w:lang w:eastAsia="ar-SA"/>
    </w:rPr>
  </w:style>
  <w:style w:type="paragraph" w:customStyle="1" w:styleId="Header3">
    <w:name w:val="Header 3"/>
    <w:basedOn w:val="a0"/>
    <w:next w:val="a0"/>
    <w:pPr>
      <w:keepLines/>
      <w:spacing w:before="80" w:after="80" w:line="240" w:lineRule="auto"/>
    </w:pPr>
    <w:rPr>
      <w:rFonts w:ascii="Futura Bk" w:eastAsia="Times New Roman" w:hAnsi="Futura Bk" w:cs="Times New Roman"/>
      <w:sz w:val="20"/>
      <w:szCs w:val="20"/>
      <w:lang w:val="en-US" w:eastAsia="ar-SA"/>
    </w:rPr>
  </w:style>
  <w:style w:type="paragraph" w:customStyle="1" w:styleId="afff9">
    <w:name w:val="Стиль начало"/>
    <w:basedOn w:val="a0"/>
    <w:pPr>
      <w:spacing w:after="0" w:line="264" w:lineRule="auto"/>
    </w:pPr>
    <w:rPr>
      <w:rFonts w:ascii="Times New Roman" w:eastAsia="Times New Roman" w:hAnsi="Times New Roman" w:cs="Times New Roman"/>
      <w:sz w:val="28"/>
      <w:szCs w:val="24"/>
      <w:lang w:eastAsia="ar-SA"/>
    </w:rPr>
  </w:style>
  <w:style w:type="paragraph" w:customStyle="1" w:styleId="1f3">
    <w:name w:val="Знак1 Знак Знак Знак"/>
    <w:basedOn w:val="a0"/>
    <w:pPr>
      <w:spacing w:after="160" w:line="240" w:lineRule="exact"/>
    </w:pPr>
    <w:rPr>
      <w:rFonts w:ascii="Verdana" w:eastAsia="Times New Roman" w:hAnsi="Verdana" w:cs="Times New Roman"/>
      <w:sz w:val="20"/>
      <w:szCs w:val="20"/>
      <w:lang w:val="en-US" w:eastAsia="ar-SA"/>
    </w:rPr>
  </w:style>
  <w:style w:type="paragraph" w:customStyle="1" w:styleId="prilozhenie">
    <w:name w:val="prilozhenie"/>
    <w:basedOn w:val="a0"/>
    <w:pPr>
      <w:spacing w:after="0" w:line="240" w:lineRule="auto"/>
      <w:ind w:firstLine="709"/>
      <w:jc w:val="both"/>
    </w:pPr>
    <w:rPr>
      <w:rFonts w:ascii="Times New Roman" w:eastAsia="Times New Roman" w:hAnsi="Times New Roman" w:cs="Times New Roman"/>
      <w:sz w:val="24"/>
      <w:szCs w:val="24"/>
      <w:lang w:eastAsia="ar-SA"/>
    </w:rPr>
  </w:style>
  <w:style w:type="paragraph" w:customStyle="1" w:styleId="Style4">
    <w:name w:val="Style4"/>
    <w:basedOn w:val="a0"/>
    <w:pPr>
      <w:tabs>
        <w:tab w:val="left" w:pos="2160"/>
      </w:tabs>
      <w:spacing w:after="0" w:line="240" w:lineRule="auto"/>
      <w:ind w:firstLine="709"/>
      <w:jc w:val="both"/>
    </w:pPr>
    <w:rPr>
      <w:rFonts w:ascii="Courier New" w:eastAsia="Times New Roman" w:hAnsi="Courier New" w:cs="Courier New"/>
      <w:b/>
      <w:bCs/>
      <w:sz w:val="24"/>
      <w:szCs w:val="24"/>
      <w:lang w:eastAsia="ar-SA"/>
    </w:rPr>
  </w:style>
  <w:style w:type="paragraph" w:customStyle="1" w:styleId="afffa">
    <w:name w:val="Текст раздела"/>
    <w:basedOn w:val="a0"/>
    <w:pPr>
      <w:widowControl w:val="0"/>
      <w:spacing w:after="0" w:line="240" w:lineRule="auto"/>
      <w:ind w:firstLine="567"/>
      <w:jc w:val="both"/>
    </w:pPr>
    <w:rPr>
      <w:rFonts w:ascii="Courier New" w:eastAsia="Times New Roman" w:hAnsi="Courier New" w:cs="Courier New"/>
      <w:b/>
      <w:bCs/>
      <w:i/>
      <w:iCs/>
      <w:sz w:val="20"/>
      <w:szCs w:val="20"/>
      <w:lang w:eastAsia="ar-SA"/>
    </w:rPr>
  </w:style>
  <w:style w:type="paragraph" w:customStyle="1" w:styleId="afffb">
    <w:name w:val="Основной стиль текстовки"/>
    <w:basedOn w:val="a0"/>
    <w:pPr>
      <w:widowControl w:val="0"/>
      <w:spacing w:after="0" w:line="240" w:lineRule="auto"/>
      <w:ind w:firstLine="567"/>
      <w:jc w:val="both"/>
    </w:pPr>
    <w:rPr>
      <w:rFonts w:ascii="Courier New" w:eastAsia="Times New Roman" w:hAnsi="Courier New" w:cs="Courier New"/>
      <w:sz w:val="20"/>
      <w:szCs w:val="20"/>
      <w:lang w:eastAsia="ar-SA"/>
    </w:rPr>
  </w:style>
  <w:style w:type="paragraph" w:customStyle="1" w:styleId="BodyTextbt">
    <w:name w:val="Body Text.bt"/>
    <w:pPr>
      <w:spacing w:after="0" w:line="240" w:lineRule="auto"/>
      <w:jc w:val="both"/>
    </w:pPr>
    <w:rPr>
      <w:rFonts w:ascii="Times New Roman" w:eastAsia="Arial" w:hAnsi="Times New Roman" w:cs="Times New Roman"/>
      <w:b/>
      <w:bCs/>
      <w:i/>
      <w:iCs/>
      <w:lang w:eastAsia="ar-SA"/>
    </w:rPr>
  </w:style>
  <w:style w:type="paragraph" w:customStyle="1" w:styleId="1f4">
    <w:name w:val="1 Знак"/>
    <w:basedOn w:val="a0"/>
    <w:pPr>
      <w:tabs>
        <w:tab w:val="left" w:pos="7483"/>
      </w:tabs>
      <w:spacing w:after="160" w:line="240" w:lineRule="exact"/>
      <w:ind w:left="1069" w:hanging="360"/>
      <w:jc w:val="both"/>
    </w:pPr>
    <w:rPr>
      <w:rFonts w:ascii="Verdana" w:eastAsia="Times New Roman" w:hAnsi="Verdana" w:cs="Arial"/>
      <w:sz w:val="20"/>
      <w:szCs w:val="20"/>
      <w:lang w:val="en-US" w:eastAsia="ar-SA"/>
    </w:rPr>
  </w:style>
  <w:style w:type="paragraph" w:customStyle="1" w:styleId="1f5">
    <w:name w:val="Схема документа1"/>
    <w:basedOn w:val="a0"/>
    <w:pPr>
      <w:shd w:val="clear" w:color="auto" w:fill="000080"/>
      <w:spacing w:after="0" w:line="240" w:lineRule="auto"/>
    </w:pPr>
    <w:rPr>
      <w:rFonts w:ascii="Tahoma" w:eastAsia="Times New Roman" w:hAnsi="Tahoma" w:cs="Tahoma"/>
      <w:sz w:val="20"/>
      <w:szCs w:val="20"/>
      <w:lang w:eastAsia="ar-SA"/>
    </w:rPr>
  </w:style>
  <w:style w:type="paragraph" w:customStyle="1" w:styleId="afffc">
    <w:name w:val="Îñíîâíîé òåêñò"/>
    <w:basedOn w:val="a0"/>
    <w:pPr>
      <w:widowControl w:val="0"/>
      <w:tabs>
        <w:tab w:val="left" w:pos="709"/>
      </w:tabs>
      <w:spacing w:after="0" w:line="240" w:lineRule="auto"/>
      <w:jc w:val="both"/>
    </w:pPr>
    <w:rPr>
      <w:rFonts w:ascii="a_FuturaOrto" w:eastAsia="Times New Roman" w:hAnsi="a_FuturaOrto" w:cs="Times New Roman"/>
      <w:color w:val="000000"/>
      <w:sz w:val="24"/>
      <w:szCs w:val="20"/>
      <w:lang w:eastAsia="ar-SA"/>
    </w:rPr>
  </w:style>
  <w:style w:type="paragraph" w:customStyle="1" w:styleId="61">
    <w:name w:val="Знак6"/>
    <w:basedOn w:val="a0"/>
    <w:pPr>
      <w:spacing w:after="160" w:line="240" w:lineRule="exact"/>
    </w:pPr>
    <w:rPr>
      <w:rFonts w:ascii="Verdana" w:eastAsia="Times New Roman" w:hAnsi="Verdana" w:cs="Times New Roman"/>
      <w:sz w:val="20"/>
      <w:szCs w:val="20"/>
      <w:lang w:val="en-US" w:eastAsia="ar-SA"/>
    </w:rPr>
  </w:style>
  <w:style w:type="paragraph" w:customStyle="1" w:styleId="ThinDelim">
    <w:name w:val="Thin Delim"/>
    <w:pPr>
      <w:widowControl w:val="0"/>
      <w:spacing w:after="0" w:line="240" w:lineRule="auto"/>
    </w:pPr>
    <w:rPr>
      <w:rFonts w:ascii="Times New Roman" w:eastAsia="Arial" w:hAnsi="Times New Roman" w:cs="Times New Roman"/>
      <w:sz w:val="16"/>
      <w:szCs w:val="16"/>
      <w:lang w:eastAsia="ar-SA"/>
    </w:rPr>
  </w:style>
  <w:style w:type="paragraph" w:customStyle="1" w:styleId="1f6">
    <w:name w:val="Знак1 Знак Знак Знак Знак Знак Знак"/>
    <w:basedOn w:val="a0"/>
    <w:pPr>
      <w:spacing w:after="160" w:line="240" w:lineRule="exact"/>
    </w:pPr>
    <w:rPr>
      <w:rFonts w:ascii="Verdana" w:eastAsia="Times New Roman" w:hAnsi="Verdana" w:cs="Times New Roman"/>
      <w:sz w:val="20"/>
      <w:szCs w:val="20"/>
      <w:lang w:val="en-US" w:eastAsia="ar-SA"/>
    </w:rPr>
  </w:style>
  <w:style w:type="paragraph" w:customStyle="1" w:styleId="afffd">
    <w:name w:val="Решение само Знак"/>
    <w:basedOn w:val="a0"/>
    <w:pPr>
      <w:widowControl w:val="0"/>
      <w:spacing w:after="0" w:line="240" w:lineRule="auto"/>
      <w:jc w:val="both"/>
    </w:pPr>
    <w:rPr>
      <w:rFonts w:ascii="Times New Roman" w:eastAsia="Times New Roman" w:hAnsi="Times New Roman" w:cs="Times New Roman"/>
      <w:sz w:val="28"/>
      <w:szCs w:val="28"/>
      <w:lang w:eastAsia="ar-SA"/>
    </w:rPr>
  </w:style>
  <w:style w:type="paragraph" w:customStyle="1" w:styleId="xl123">
    <w:name w:val="xl123"/>
    <w:basedOn w:val="a0"/>
    <w:pPr>
      <w:pBdr>
        <w:top w:val="single" w:sz="4" w:space="0" w:color="000000"/>
        <w:bottom w:val="single" w:sz="4" w:space="0" w:color="000000"/>
        <w:right w:val="single" w:sz="4" w:space="0" w:color="000000"/>
      </w:pBdr>
      <w:spacing w:before="280" w:after="280" w:line="240" w:lineRule="auto"/>
      <w:jc w:val="center"/>
    </w:pPr>
    <w:rPr>
      <w:rFonts w:ascii="Times New Roman" w:eastAsia="Times New Roman" w:hAnsi="Times New Roman" w:cs="Times New Roman"/>
      <w:sz w:val="24"/>
      <w:szCs w:val="24"/>
      <w:lang w:eastAsia="ar-SA"/>
    </w:rPr>
  </w:style>
  <w:style w:type="paragraph" w:customStyle="1" w:styleId="consplusnormal0">
    <w:name w:val="consplusnormal"/>
    <w:basedOn w:val="a0"/>
    <w:pPr>
      <w:spacing w:before="280" w:after="280" w:line="240" w:lineRule="auto"/>
    </w:pPr>
    <w:rPr>
      <w:rFonts w:ascii="Times New Roman" w:eastAsia="Calibri" w:hAnsi="Times New Roman" w:cs="Times New Roman"/>
      <w:sz w:val="24"/>
      <w:szCs w:val="24"/>
      <w:lang w:eastAsia="ar-SA"/>
    </w:rPr>
  </w:style>
  <w:style w:type="paragraph" w:customStyle="1" w:styleId="1f7">
    <w:name w:val="Знак Знак Знак1 Знак Знак Знак Знак Знак Знак Знак Знак Знак Знак"/>
    <w:basedOn w:val="a0"/>
    <w:pPr>
      <w:spacing w:after="160" w:line="240" w:lineRule="exact"/>
    </w:pPr>
    <w:rPr>
      <w:rFonts w:ascii="Verdana" w:eastAsia="Times New Roman" w:hAnsi="Verdana" w:cs="Times New Roman"/>
      <w:sz w:val="20"/>
      <w:szCs w:val="20"/>
      <w:lang w:val="en-US" w:eastAsia="ar-SA"/>
    </w:rPr>
  </w:style>
  <w:style w:type="paragraph" w:customStyle="1" w:styleId="313">
    <w:name w:val="Список 31"/>
    <w:basedOn w:val="a0"/>
    <w:pPr>
      <w:spacing w:after="0" w:line="240" w:lineRule="auto"/>
      <w:ind w:left="849" w:hanging="283"/>
    </w:pPr>
    <w:rPr>
      <w:rFonts w:ascii="Times New Roman" w:eastAsia="Times New Roman" w:hAnsi="Times New Roman" w:cs="Times New Roman"/>
      <w:sz w:val="24"/>
      <w:szCs w:val="24"/>
      <w:lang w:eastAsia="ar-SA"/>
    </w:rPr>
  </w:style>
  <w:style w:type="paragraph" w:customStyle="1" w:styleId="afffe">
    <w:name w:val="Содержимое врезки"/>
    <w:basedOn w:val="af"/>
    <w:rPr>
      <w:lang w:eastAsia="ar-SA"/>
    </w:rPr>
  </w:style>
  <w:style w:type="paragraph" w:customStyle="1" w:styleId="affff">
    <w:name w:val="Содержимое таблицы"/>
    <w:basedOn w:val="a0"/>
    <w:pPr>
      <w:suppressLineNumbers/>
      <w:spacing w:after="0" w:line="240" w:lineRule="auto"/>
    </w:pPr>
    <w:rPr>
      <w:rFonts w:ascii="Times New Roman" w:eastAsia="Times New Roman" w:hAnsi="Times New Roman" w:cs="Times New Roman"/>
      <w:sz w:val="24"/>
      <w:szCs w:val="24"/>
      <w:lang w:eastAsia="ar-SA"/>
    </w:rPr>
  </w:style>
  <w:style w:type="paragraph" w:customStyle="1" w:styleId="affff0">
    <w:name w:val="Заголовок таблицы"/>
    <w:basedOn w:val="affff"/>
    <w:pPr>
      <w:jc w:val="center"/>
    </w:pPr>
    <w:rPr>
      <w:b/>
      <w:bCs/>
    </w:rPr>
  </w:style>
  <w:style w:type="paragraph" w:styleId="affff1">
    <w:name w:val="List"/>
    <w:basedOn w:val="a0"/>
    <w:pPr>
      <w:spacing w:after="0" w:line="240" w:lineRule="auto"/>
      <w:ind w:left="283" w:hanging="283"/>
    </w:pPr>
    <w:rPr>
      <w:rFonts w:ascii="Times New Roman" w:eastAsia="Times New Roman" w:hAnsi="Times New Roman" w:cs="Times New Roman"/>
      <w:sz w:val="24"/>
      <w:szCs w:val="20"/>
      <w:lang w:eastAsia="ar-SA"/>
    </w:rPr>
  </w:style>
  <w:style w:type="paragraph" w:styleId="affff2">
    <w:name w:val="Normal (Web)"/>
    <w:basedOn w:val="a0"/>
    <w:uiPriority w:val="99"/>
    <w:pPr>
      <w:spacing w:before="280" w:after="280" w:line="240" w:lineRule="auto"/>
    </w:pPr>
    <w:rPr>
      <w:rFonts w:ascii="Times New Roman" w:eastAsia="Times New Roman" w:hAnsi="Times New Roman" w:cs="Times New Roman"/>
      <w:sz w:val="24"/>
      <w:szCs w:val="24"/>
      <w:lang w:eastAsia="ar-SA"/>
    </w:rPr>
  </w:style>
  <w:style w:type="paragraph" w:styleId="36">
    <w:name w:val="Body Text 3"/>
    <w:basedOn w:val="a0"/>
    <w:link w:val="37"/>
    <w:pPr>
      <w:spacing w:after="0" w:line="240" w:lineRule="auto"/>
      <w:jc w:val="both"/>
    </w:pPr>
    <w:rPr>
      <w:rFonts w:ascii="Times New Roman" w:eastAsia="Times New Roman" w:hAnsi="Times New Roman" w:cs="Times New Roman"/>
      <w:bCs/>
      <w:sz w:val="24"/>
      <w:szCs w:val="24"/>
      <w:lang w:eastAsia="ru-RU"/>
    </w:rPr>
  </w:style>
  <w:style w:type="character" w:customStyle="1" w:styleId="37">
    <w:name w:val="Основной текст 3 Знак"/>
    <w:basedOn w:val="a1"/>
    <w:link w:val="36"/>
    <w:rPr>
      <w:rFonts w:ascii="Times New Roman" w:eastAsia="Times New Roman" w:hAnsi="Times New Roman" w:cs="Times New Roman"/>
      <w:bCs/>
      <w:sz w:val="24"/>
      <w:szCs w:val="24"/>
      <w:lang w:eastAsia="ru-RU"/>
    </w:rPr>
  </w:style>
  <w:style w:type="paragraph" w:styleId="affff3">
    <w:name w:val="Document Map"/>
    <w:basedOn w:val="a0"/>
    <w:link w:val="affff4"/>
    <w:pPr>
      <w:shd w:val="clear" w:color="auto" w:fill="000080"/>
      <w:spacing w:after="0" w:line="240" w:lineRule="auto"/>
    </w:pPr>
    <w:rPr>
      <w:rFonts w:ascii="Tahoma" w:eastAsia="Times New Roman" w:hAnsi="Tahoma" w:cs="Tahoma"/>
      <w:sz w:val="20"/>
      <w:szCs w:val="20"/>
      <w:lang w:eastAsia="ru-RU"/>
    </w:rPr>
  </w:style>
  <w:style w:type="character" w:customStyle="1" w:styleId="affff4">
    <w:name w:val="Схема документа Знак"/>
    <w:basedOn w:val="a1"/>
    <w:link w:val="affff3"/>
    <w:rPr>
      <w:rFonts w:ascii="Tahoma" w:eastAsia="Times New Roman" w:hAnsi="Tahoma" w:cs="Tahoma"/>
      <w:sz w:val="20"/>
      <w:szCs w:val="20"/>
      <w:shd w:val="clear" w:color="auto" w:fill="000080"/>
      <w:lang w:eastAsia="ru-RU"/>
    </w:rPr>
  </w:style>
  <w:style w:type="numbering" w:customStyle="1" w:styleId="1f8">
    <w:name w:val="Нет списка1"/>
    <w:next w:val="a3"/>
    <w:uiPriority w:val="99"/>
    <w:semiHidden/>
    <w:unhideWhenUsed/>
  </w:style>
  <w:style w:type="character" w:customStyle="1" w:styleId="WW8Num25z3">
    <w:name w:val="WW8Num25z3"/>
    <w:rPr>
      <w:rFonts w:ascii="Symbol" w:hAnsi="Symbol"/>
    </w:rPr>
  </w:style>
  <w:style w:type="character" w:styleId="affff5">
    <w:name w:val="Strong"/>
    <w:qFormat/>
    <w:rPr>
      <w:b/>
      <w:bCs/>
    </w:rPr>
  </w:style>
  <w:style w:type="numbering" w:customStyle="1" w:styleId="2b">
    <w:name w:val="Нет списка2"/>
    <w:next w:val="a3"/>
    <w:uiPriority w:val="99"/>
    <w:semiHidden/>
    <w:unhideWhenUsed/>
  </w:style>
  <w:style w:type="paragraph" w:styleId="38">
    <w:name w:val="toc 3"/>
    <w:basedOn w:val="a0"/>
    <w:next w:val="a0"/>
    <w:uiPriority w:val="39"/>
    <w:pPr>
      <w:tabs>
        <w:tab w:val="right" w:leader="dot" w:pos="0"/>
      </w:tabs>
      <w:spacing w:after="0" w:line="240" w:lineRule="auto"/>
    </w:pPr>
    <w:rPr>
      <w:rFonts w:ascii="Times New Roman" w:eastAsia="MS Mincho" w:hAnsi="Times New Roman" w:cs="Times New Roman"/>
      <w:sz w:val="24"/>
      <w:szCs w:val="24"/>
      <w:lang w:eastAsia="ru-RU"/>
    </w:rPr>
  </w:style>
  <w:style w:type="paragraph" w:customStyle="1" w:styleId="hd">
    <w:name w:val="Верхний колонтитул.hd"/>
    <w:basedOn w:val="a0"/>
    <w:pPr>
      <w:widowControl w:val="0"/>
      <w:tabs>
        <w:tab w:val="center" w:pos="4153"/>
        <w:tab w:val="right" w:pos="8306"/>
      </w:tabs>
      <w:spacing w:before="40" w:after="0" w:line="240" w:lineRule="auto"/>
      <w:ind w:left="200"/>
    </w:pPr>
    <w:rPr>
      <w:rFonts w:ascii="Times New Roman" w:eastAsia="Times New Roman" w:hAnsi="Times New Roman" w:cs="Times New Roman"/>
      <w:lang w:eastAsia="ru-RU"/>
    </w:rPr>
  </w:style>
  <w:style w:type="paragraph" w:styleId="affff6">
    <w:name w:val="Title"/>
    <w:basedOn w:val="a0"/>
    <w:link w:val="affff7"/>
    <w:qFormat/>
    <w:pPr>
      <w:spacing w:after="0" w:line="240" w:lineRule="auto"/>
      <w:jc w:val="center"/>
    </w:pPr>
    <w:rPr>
      <w:rFonts w:ascii="Times New Roman" w:eastAsia="Times New Roman" w:hAnsi="Times New Roman" w:cs="Times New Roman"/>
      <w:b/>
      <w:sz w:val="20"/>
      <w:szCs w:val="20"/>
      <w:lang w:eastAsia="ru-RU"/>
    </w:rPr>
  </w:style>
  <w:style w:type="character" w:customStyle="1" w:styleId="affff7">
    <w:name w:val="Заголовок Знак"/>
    <w:basedOn w:val="a1"/>
    <w:link w:val="affff6"/>
    <w:rPr>
      <w:rFonts w:ascii="Times New Roman" w:eastAsia="Times New Roman" w:hAnsi="Times New Roman" w:cs="Times New Roman"/>
      <w:b/>
      <w:sz w:val="20"/>
      <w:szCs w:val="20"/>
      <w:lang w:eastAsia="ru-RU"/>
    </w:rPr>
  </w:style>
  <w:style w:type="paragraph" w:styleId="affff8">
    <w:name w:val="Plain Text"/>
    <w:basedOn w:val="a0"/>
    <w:link w:val="1f9"/>
    <w:pPr>
      <w:spacing w:after="0" w:line="240" w:lineRule="auto"/>
    </w:pPr>
    <w:rPr>
      <w:rFonts w:ascii="Courier New" w:eastAsia="Times New Roman" w:hAnsi="Courier New" w:cs="Courier New"/>
      <w:sz w:val="20"/>
      <w:szCs w:val="20"/>
      <w:lang w:eastAsia="ru-RU"/>
    </w:rPr>
  </w:style>
  <w:style w:type="character" w:customStyle="1" w:styleId="1f9">
    <w:name w:val="Текст Знак1"/>
    <w:basedOn w:val="a1"/>
    <w:link w:val="affff8"/>
    <w:rPr>
      <w:rFonts w:ascii="Courier New" w:eastAsia="Times New Roman" w:hAnsi="Courier New" w:cs="Courier New"/>
      <w:sz w:val="20"/>
      <w:szCs w:val="20"/>
      <w:lang w:eastAsia="ru-RU"/>
    </w:rPr>
  </w:style>
  <w:style w:type="paragraph" w:customStyle="1" w:styleId="Style3">
    <w:name w:val="Style3"/>
    <w:basedOn w:val="a0"/>
    <w:pPr>
      <w:widowControl w:val="0"/>
      <w:spacing w:after="0" w:line="240" w:lineRule="auto"/>
      <w:ind w:firstLine="709"/>
      <w:jc w:val="right"/>
    </w:pPr>
    <w:rPr>
      <w:rFonts w:ascii="Courier New" w:eastAsia="Times New Roman" w:hAnsi="Courier New" w:cs="Courier New"/>
      <w:sz w:val="24"/>
      <w:szCs w:val="24"/>
    </w:rPr>
  </w:style>
  <w:style w:type="paragraph" w:customStyle="1" w:styleId="affff9">
    <w:name w:val="Знак Знак Знак Знак"/>
    <w:basedOn w:val="a0"/>
    <w:pPr>
      <w:spacing w:after="160" w:line="240" w:lineRule="exact"/>
    </w:pPr>
    <w:rPr>
      <w:rFonts w:ascii="Verdana" w:eastAsia="Times New Roman" w:hAnsi="Verdana" w:cs="Verdana"/>
      <w:sz w:val="20"/>
      <w:szCs w:val="20"/>
      <w:lang w:val="en-US"/>
    </w:rPr>
  </w:style>
  <w:style w:type="paragraph" w:customStyle="1" w:styleId="maintext">
    <w:name w:val="maintext"/>
    <w:basedOn w:val="a0"/>
    <w:pPr>
      <w:spacing w:before="100" w:beforeAutospacing="1" w:after="100" w:afterAutospacing="1" w:line="240" w:lineRule="auto"/>
    </w:pPr>
    <w:rPr>
      <w:rFonts w:ascii="Arial" w:eastAsia="Times New Roman" w:hAnsi="Arial" w:cs="Arial"/>
      <w:color w:val="000000"/>
      <w:sz w:val="12"/>
      <w:szCs w:val="12"/>
      <w:lang w:eastAsia="ru-RU"/>
    </w:rPr>
  </w:style>
  <w:style w:type="paragraph" w:customStyle="1" w:styleId="affffa">
    <w:name w:val="Знак Знак Знак"/>
    <w:basedOn w:val="a0"/>
    <w:pPr>
      <w:spacing w:after="160" w:line="240" w:lineRule="exact"/>
    </w:pPr>
    <w:rPr>
      <w:rFonts w:ascii="Verdana" w:eastAsia="Times New Roman" w:hAnsi="Verdana" w:cs="Verdana"/>
      <w:sz w:val="20"/>
      <w:szCs w:val="20"/>
      <w:lang w:val="en-US"/>
    </w:rPr>
  </w:style>
  <w:style w:type="paragraph" w:customStyle="1" w:styleId="affffb">
    <w:name w:val="Изобр по центру"/>
    <w:basedOn w:val="affffc"/>
    <w:pPr>
      <w:jc w:val="center"/>
    </w:pPr>
    <w:rPr>
      <w:bCs/>
    </w:rPr>
  </w:style>
  <w:style w:type="paragraph" w:customStyle="1" w:styleId="affffc">
    <w:name w:val="Изображение"/>
    <w:basedOn w:val="a0"/>
    <w:pPr>
      <w:widowControl w:val="0"/>
      <w:spacing w:after="0" w:line="240" w:lineRule="auto"/>
    </w:pPr>
    <w:rPr>
      <w:rFonts w:ascii="Times New Roman" w:eastAsia="Times New Roman" w:hAnsi="Times New Roman" w:cs="Times New Roman"/>
      <w:sz w:val="20"/>
      <w:szCs w:val="20"/>
      <w:lang w:eastAsia="ru-RU"/>
    </w:rPr>
  </w:style>
  <w:style w:type="character" w:customStyle="1" w:styleId="affffd">
    <w:name w:val="Изображение Знак"/>
    <w:rPr>
      <w:lang w:val="ru-RU" w:eastAsia="ru-RU" w:bidi="ar-SA"/>
    </w:rPr>
  </w:style>
  <w:style w:type="character" w:customStyle="1" w:styleId="affffe">
    <w:name w:val="Изобр по центру Знак"/>
    <w:rPr>
      <w:bCs/>
      <w:lang w:val="ru-RU" w:eastAsia="ru-RU" w:bidi="ar-SA"/>
    </w:rPr>
  </w:style>
  <w:style w:type="paragraph" w:customStyle="1" w:styleId="IAS">
    <w:name w:val="IAS"/>
    <w:basedOn w:val="a0"/>
    <w:pPr>
      <w:spacing w:after="0" w:line="260" w:lineRule="exact"/>
    </w:pPr>
    <w:rPr>
      <w:rFonts w:ascii="Times" w:eastAsia="Times New Roman" w:hAnsi="Times" w:cs="Times"/>
      <w:i/>
      <w:iCs/>
      <w:sz w:val="20"/>
      <w:szCs w:val="20"/>
      <w:lang w:val="en-GB" w:eastAsia="ru-RU"/>
    </w:rPr>
  </w:style>
  <w:style w:type="paragraph" w:customStyle="1" w:styleId="NonFormat">
    <w:name w:val="NonFormat"/>
    <w:basedOn w:val="a0"/>
    <w:pPr>
      <w:widowControl w:val="0"/>
      <w:spacing w:after="0" w:line="240" w:lineRule="auto"/>
    </w:pPr>
    <w:rPr>
      <w:rFonts w:ascii="Courier New" w:eastAsia="Times New Roman" w:hAnsi="Courier New" w:cs="Courier New"/>
      <w:b/>
      <w:bCs/>
      <w:sz w:val="20"/>
      <w:szCs w:val="20"/>
    </w:rPr>
  </w:style>
  <w:style w:type="paragraph" w:customStyle="1" w:styleId="2c">
    <w:name w:val="îãëàâëåíèå 2"/>
    <w:basedOn w:val="a0"/>
    <w:next w:val="a0"/>
    <w:pPr>
      <w:widowControl w:val="0"/>
      <w:spacing w:after="0" w:line="240" w:lineRule="auto"/>
      <w:ind w:left="200"/>
    </w:pPr>
    <w:rPr>
      <w:rFonts w:ascii="Times New Roman" w:eastAsia="Times New Roman" w:hAnsi="Times New Roman" w:cs="Times New Roman"/>
      <w:b/>
      <w:bCs/>
      <w:sz w:val="20"/>
      <w:szCs w:val="20"/>
    </w:rPr>
  </w:style>
  <w:style w:type="paragraph" w:customStyle="1" w:styleId="afffff">
    <w:name w:val="Название должности"/>
    <w:next w:val="a0"/>
    <w:pPr>
      <w:spacing w:after="40" w:line="220" w:lineRule="atLeast"/>
    </w:pPr>
    <w:rPr>
      <w:rFonts w:ascii="Arial" w:eastAsia="Times New Roman" w:hAnsi="Arial" w:cs="Arial"/>
      <w:b/>
      <w:bCs/>
      <w:spacing w:val="-10"/>
      <w:sz w:val="20"/>
      <w:szCs w:val="20"/>
      <w:lang w:eastAsia="ru-RU"/>
    </w:rPr>
  </w:style>
  <w:style w:type="paragraph" w:customStyle="1" w:styleId="1fa">
    <w:name w:val="Знак1"/>
    <w:basedOn w:val="a0"/>
    <w:pPr>
      <w:tabs>
        <w:tab w:val="num" w:pos="720"/>
      </w:tabs>
      <w:spacing w:after="160" w:line="240" w:lineRule="exact"/>
      <w:ind w:left="720" w:hanging="360"/>
      <w:jc w:val="both"/>
    </w:pPr>
    <w:rPr>
      <w:rFonts w:ascii="Verdana" w:eastAsia="Times New Roman" w:hAnsi="Verdana" w:cs="Arial"/>
      <w:sz w:val="20"/>
      <w:szCs w:val="20"/>
      <w:lang w:val="en-US"/>
    </w:rPr>
  </w:style>
  <w:style w:type="paragraph" w:customStyle="1" w:styleId="AcntHeading1">
    <w:name w:val="Acnt Heading 1"/>
    <w:pPr>
      <w:widowControl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NumHead1">
    <w:name w:val="NumHead 1"/>
    <w:basedOn w:val="a0"/>
    <w:next w:val="a0"/>
    <w:pPr>
      <w:keepNext/>
      <w:keepLines/>
      <w:numPr>
        <w:numId w:val="1"/>
      </w:numPr>
      <w:tabs>
        <w:tab w:val="left" w:pos="1008"/>
      </w:tabs>
      <w:spacing w:before="360" w:after="0" w:line="270" w:lineRule="atLeast"/>
      <w:ind w:left="1008" w:hanging="1008"/>
    </w:pPr>
    <w:rPr>
      <w:rFonts w:ascii="Arial" w:eastAsia="Times New Roman" w:hAnsi="Arial" w:cs="Times New Roman"/>
      <w:b/>
      <w:lang w:val="en-GB"/>
    </w:rPr>
  </w:style>
  <w:style w:type="character" w:customStyle="1" w:styleId="NumHead10">
    <w:name w:val="NumHead 1 Знак"/>
    <w:rPr>
      <w:rFonts w:ascii="Arial" w:hAnsi="Arial"/>
      <w:b/>
      <w:sz w:val="22"/>
      <w:szCs w:val="22"/>
      <w:lang w:val="en-GB" w:eastAsia="en-US" w:bidi="ar-SA"/>
    </w:rPr>
  </w:style>
  <w:style w:type="paragraph" w:customStyle="1" w:styleId="NumHead2">
    <w:name w:val="NumHead 2"/>
    <w:basedOn w:val="NumHead1"/>
    <w:next w:val="a0"/>
    <w:pPr>
      <w:numPr>
        <w:numId w:val="0"/>
      </w:numPr>
      <w:tabs>
        <w:tab w:val="num" w:pos="360"/>
        <w:tab w:val="num" w:pos="720"/>
        <w:tab w:val="num" w:pos="1440"/>
        <w:tab w:val="num" w:pos="2574"/>
      </w:tabs>
      <w:ind w:left="1008" w:hanging="1008"/>
    </w:pPr>
  </w:style>
  <w:style w:type="paragraph" w:customStyle="1" w:styleId="Web">
    <w:name w:val="Обычный (Web)"/>
    <w:basedOn w:val="a0"/>
    <w:pPr>
      <w:numPr>
        <w:ilvl w:val="3"/>
        <w:numId w:val="1"/>
      </w:numPr>
      <w:spacing w:before="100" w:after="100" w:line="240" w:lineRule="auto"/>
    </w:pPr>
    <w:rPr>
      <w:rFonts w:ascii="Times New Roman" w:eastAsia="Times New Roman" w:hAnsi="Times New Roman" w:cs="Times New Roman"/>
      <w:color w:val="000000"/>
      <w:sz w:val="24"/>
      <w:szCs w:val="24"/>
      <w:lang w:eastAsia="ru-RU"/>
    </w:rPr>
  </w:style>
  <w:style w:type="paragraph" w:customStyle="1" w:styleId="afffff0">
    <w:name w:val="Îáû÷íûé"/>
    <w:pPr>
      <w:widowControl w:val="0"/>
      <w:spacing w:after="0" w:line="240" w:lineRule="auto"/>
    </w:pPr>
    <w:rPr>
      <w:rFonts w:ascii="Times New Roman" w:eastAsia="Times New Roman" w:hAnsi="Times New Roman" w:cs="Times New Roman"/>
      <w:sz w:val="20"/>
      <w:szCs w:val="20"/>
      <w:lang w:eastAsia="ru-RU"/>
    </w:rPr>
  </w:style>
  <w:style w:type="paragraph" w:customStyle="1" w:styleId="afffff1">
    <w:name w:val="Абзац годового отчета"/>
    <w:basedOn w:val="a0"/>
    <w:pPr>
      <w:spacing w:before="120" w:after="0" w:line="240" w:lineRule="auto"/>
      <w:ind w:firstLine="567"/>
      <w:jc w:val="both"/>
    </w:pPr>
    <w:rPr>
      <w:rFonts w:ascii="TimesNewRoman" w:eastAsia="Times New Roman" w:hAnsi="TimesNewRoman" w:cs="TimesNewRoman"/>
      <w:color w:val="000000"/>
      <w:sz w:val="24"/>
      <w:szCs w:val="24"/>
      <w:lang w:eastAsia="ru-RU"/>
    </w:rPr>
  </w:style>
  <w:style w:type="paragraph" w:customStyle="1" w:styleId="afffff2">
    <w:name w:val="список для годового отчета"/>
    <w:basedOn w:val="afffff1"/>
    <w:pPr>
      <w:tabs>
        <w:tab w:val="num" w:pos="360"/>
      </w:tabs>
    </w:pPr>
  </w:style>
  <w:style w:type="paragraph" w:styleId="2d">
    <w:name w:val="toc 2"/>
    <w:basedOn w:val="a0"/>
    <w:next w:val="a0"/>
    <w:uiPriority w:val="39"/>
    <w:pPr>
      <w:tabs>
        <w:tab w:val="left" w:pos="8460"/>
        <w:tab w:val="right" w:leader="dot" w:pos="8820"/>
        <w:tab w:val="right" w:leader="dot" w:pos="9639"/>
      </w:tabs>
      <w:spacing w:after="0" w:line="240" w:lineRule="auto"/>
      <w:jc w:val="center"/>
    </w:pPr>
    <w:rPr>
      <w:rFonts w:ascii="Times New Roman" w:eastAsia="Times New Roman" w:hAnsi="Times New Roman" w:cs="Times New Roman"/>
      <w:b/>
      <w:sz w:val="24"/>
      <w:szCs w:val="24"/>
      <w:lang w:eastAsia="ru-RU"/>
    </w:rPr>
  </w:style>
  <w:style w:type="character" w:customStyle="1" w:styleId="afffff3">
    <w:name w:val="Текст Знак Знак Знак Знак Знак Знак Знак Знак Знак Знак Знак Знак"/>
    <w:semiHidden/>
    <w:rPr>
      <w:rFonts w:ascii="Courier New" w:hAnsi="Courier New" w:cs="Courier New"/>
      <w:lang w:val="ru-RU" w:eastAsia="ru-RU" w:bidi="ar-SA"/>
    </w:rPr>
  </w:style>
  <w:style w:type="paragraph" w:customStyle="1" w:styleId="Pa7">
    <w:name w:val="Pa7"/>
    <w:basedOn w:val="a0"/>
    <w:next w:val="a0"/>
    <w:pPr>
      <w:spacing w:after="0" w:line="181" w:lineRule="atLeast"/>
    </w:pPr>
    <w:rPr>
      <w:rFonts w:ascii="CharterC" w:eastAsia="Times New Roman" w:hAnsi="CharterC" w:cs="Times New Roman"/>
      <w:sz w:val="24"/>
      <w:szCs w:val="24"/>
      <w:lang w:eastAsia="ru-RU"/>
    </w:rPr>
  </w:style>
  <w:style w:type="paragraph" w:customStyle="1" w:styleId="ConsPlusTitle">
    <w:name w:val="ConsPlusTitle"/>
    <w:pPr>
      <w:widowControl w:val="0"/>
      <w:spacing w:after="0" w:line="240" w:lineRule="auto"/>
    </w:pPr>
    <w:rPr>
      <w:rFonts w:ascii="Times New Roman" w:eastAsia="Times New Roman" w:hAnsi="Times New Roman" w:cs="Times New Roman"/>
      <w:b/>
      <w:bCs/>
      <w:sz w:val="24"/>
      <w:szCs w:val="24"/>
      <w:lang w:eastAsia="ru-RU"/>
    </w:rPr>
  </w:style>
  <w:style w:type="paragraph" w:styleId="afffff4">
    <w:name w:val="endnote text"/>
    <w:basedOn w:val="a0"/>
    <w:link w:val="afffff5"/>
    <w:uiPriority w:val="99"/>
    <w:unhideWhenUsed/>
    <w:pPr>
      <w:spacing w:after="0" w:line="240" w:lineRule="auto"/>
    </w:pPr>
    <w:rPr>
      <w:rFonts w:ascii="Times New Roman" w:eastAsia="Times New Roman" w:hAnsi="Times New Roman" w:cs="Times New Roman"/>
      <w:sz w:val="20"/>
      <w:szCs w:val="20"/>
      <w:lang w:eastAsia="ru-RU"/>
    </w:rPr>
  </w:style>
  <w:style w:type="character" w:customStyle="1" w:styleId="afffff5">
    <w:name w:val="Текст концевой сноски Знак"/>
    <w:basedOn w:val="a1"/>
    <w:link w:val="afffff4"/>
    <w:uiPriority w:val="99"/>
    <w:rPr>
      <w:rFonts w:ascii="Times New Roman" w:eastAsia="Times New Roman" w:hAnsi="Times New Roman" w:cs="Times New Roman"/>
      <w:sz w:val="20"/>
      <w:szCs w:val="20"/>
      <w:lang w:eastAsia="ru-RU"/>
    </w:rPr>
  </w:style>
  <w:style w:type="character" w:customStyle="1" w:styleId="apple-style-span">
    <w:name w:val="apple-style-span"/>
  </w:style>
  <w:style w:type="paragraph" w:customStyle="1" w:styleId="afffff6">
    <w:name w:val="Обзор"/>
    <w:basedOn w:val="a0"/>
    <w:pPr>
      <w:spacing w:after="0" w:line="240" w:lineRule="auto"/>
      <w:ind w:firstLine="397"/>
      <w:jc w:val="both"/>
    </w:pPr>
    <w:rPr>
      <w:rFonts w:ascii="Times New Roman" w:eastAsia="Calibri" w:hAnsi="Times New Roman" w:cs="Times New Roman"/>
      <w:sz w:val="24"/>
      <w:szCs w:val="24"/>
      <w:lang w:eastAsia="ru-RU"/>
    </w:rPr>
  </w:style>
  <w:style w:type="character" w:styleId="afffff7">
    <w:name w:val="endnote reference"/>
    <w:uiPriority w:val="99"/>
    <w:unhideWhenUsed/>
    <w:rPr>
      <w:vertAlign w:val="superscript"/>
    </w:rPr>
  </w:style>
  <w:style w:type="table" w:customStyle="1" w:styleId="1fb">
    <w:name w:val="Сетка таблицы1"/>
    <w:basedOn w:val="a2"/>
    <w:next w:val="afa"/>
    <w:uiPriority w:val="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8">
    <w:name w:val="Revision"/>
    <w:hidden/>
    <w:uiPriority w:val="99"/>
    <w:semiHidden/>
    <w:pPr>
      <w:spacing w:after="0" w:line="240" w:lineRule="auto"/>
    </w:pPr>
    <w:rPr>
      <w:rFonts w:ascii="Times New Roman" w:eastAsia="Times New Roman" w:hAnsi="Times New Roman" w:cs="Times New Roman"/>
      <w:sz w:val="24"/>
      <w:szCs w:val="24"/>
      <w:lang w:eastAsia="ru-RU"/>
    </w:rPr>
  </w:style>
  <w:style w:type="character" w:customStyle="1" w:styleId="aff0">
    <w:name w:val="Абзац списка Знак"/>
    <w:link w:val="aff"/>
    <w:uiPriority w:val="34"/>
    <w:qFormat/>
    <w:rPr>
      <w:rFonts w:ascii="Calibri" w:eastAsia="Calibri" w:hAnsi="Calibri" w:cs="Calibri"/>
    </w:rPr>
  </w:style>
  <w:style w:type="paragraph" w:customStyle="1" w:styleId="Default">
    <w:name w:val="Default"/>
    <w:pPr>
      <w:spacing w:after="0" w:line="240" w:lineRule="auto"/>
    </w:pPr>
    <w:rPr>
      <w:rFonts w:ascii="Times New Roman" w:eastAsia="Calibri" w:hAnsi="Times New Roman" w:cs="Times New Roman"/>
      <w:color w:val="000000"/>
      <w:sz w:val="24"/>
      <w:szCs w:val="24"/>
    </w:rPr>
  </w:style>
  <w:style w:type="paragraph" w:customStyle="1" w:styleId="afffff9">
    <w:name w:val="текст"/>
    <w:basedOn w:val="a0"/>
    <w:link w:val="afffffa"/>
    <w:qFormat/>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a">
    <w:name w:val="текст Знак"/>
    <w:link w:val="afffff9"/>
    <w:rPr>
      <w:rFonts w:ascii="Times New Roman" w:eastAsia="Times New Roman" w:hAnsi="Times New Roman" w:cs="Times New Roman"/>
      <w:sz w:val="24"/>
      <w:szCs w:val="24"/>
      <w:lang w:eastAsia="ru-RU"/>
    </w:rPr>
  </w:style>
  <w:style w:type="paragraph" w:customStyle="1" w:styleId="39">
    <w:name w:val="нумерация 3 уровня"/>
    <w:basedOn w:val="aff"/>
    <w:link w:val="3a"/>
    <w:qFormat/>
    <w:pPr>
      <w:tabs>
        <w:tab w:val="left" w:pos="1560"/>
      </w:tabs>
      <w:spacing w:before="120"/>
      <w:ind w:left="0" w:firstLine="720"/>
      <w:jc w:val="both"/>
    </w:pPr>
    <w:rPr>
      <w:rFonts w:ascii="Times New Roman" w:eastAsia="Times New Roman" w:hAnsi="Times New Roman" w:cs="Times New Roman"/>
      <w:iCs/>
      <w:color w:val="000000"/>
      <w:sz w:val="28"/>
      <w:szCs w:val="28"/>
      <w:lang w:eastAsia="ru-RU" w:bidi="ru-RU"/>
    </w:rPr>
  </w:style>
  <w:style w:type="character" w:customStyle="1" w:styleId="3a">
    <w:name w:val="нумерация 3 уровня Знак"/>
    <w:link w:val="39"/>
    <w:rPr>
      <w:rFonts w:ascii="Times New Roman" w:eastAsia="Times New Roman" w:hAnsi="Times New Roman" w:cs="Times New Roman"/>
      <w:iCs/>
      <w:color w:val="000000"/>
      <w:sz w:val="28"/>
      <w:szCs w:val="28"/>
      <w:lang w:eastAsia="ru-RU" w:bidi="ru-RU"/>
    </w:rPr>
  </w:style>
  <w:style w:type="numbering" w:customStyle="1" w:styleId="3b">
    <w:name w:val="Нет списка3"/>
    <w:next w:val="a3"/>
    <w:uiPriority w:val="99"/>
    <w:semiHidden/>
    <w:unhideWhenUsed/>
  </w:style>
  <w:style w:type="paragraph" w:customStyle="1" w:styleId="1fc">
    <w:name w:val="Знак Знак1 Знак Знак Знак"/>
    <w:basedOn w:val="a0"/>
    <w:pPr>
      <w:tabs>
        <w:tab w:val="num" w:pos="360"/>
      </w:tabs>
      <w:spacing w:after="160" w:line="240" w:lineRule="exact"/>
    </w:pPr>
    <w:rPr>
      <w:rFonts w:ascii="Times New Roman" w:eastAsia="Times New Roman" w:hAnsi="Times New Roman" w:cs="Times New Roman"/>
      <w:sz w:val="24"/>
      <w:szCs w:val="24"/>
      <w:lang w:val="en-US" w:eastAsia="ru-RU"/>
    </w:rPr>
  </w:style>
  <w:style w:type="numbering" w:customStyle="1" w:styleId="43">
    <w:name w:val="Нет списка4"/>
    <w:next w:val="a3"/>
    <w:uiPriority w:val="99"/>
    <w:semiHidden/>
    <w:unhideWhenUsed/>
  </w:style>
  <w:style w:type="paragraph" w:styleId="a">
    <w:name w:val="List Bullet"/>
    <w:basedOn w:val="a0"/>
    <w:pPr>
      <w:numPr>
        <w:numId w:val="2"/>
      </w:numPr>
      <w:spacing w:after="0" w:line="240" w:lineRule="auto"/>
      <w:contextualSpacing/>
    </w:pPr>
    <w:rPr>
      <w:rFonts w:ascii="Times New Roman" w:eastAsia="Times New Roman" w:hAnsi="Times New Roman" w:cs="Times New Roman"/>
      <w:sz w:val="24"/>
      <w:szCs w:val="24"/>
      <w:lang w:eastAsia="ru-RU"/>
    </w:rPr>
  </w:style>
  <w:style w:type="character" w:customStyle="1" w:styleId="defaultlabelstyle1">
    <w:name w:val="defaultlabelstyle1"/>
    <w:rPr>
      <w:color w:val="auto"/>
    </w:rPr>
  </w:style>
  <w:style w:type="character" w:customStyle="1" w:styleId="webofficeattributevalue">
    <w:name w:val="webofficeattributevalue"/>
    <w:basedOn w:val="a1"/>
  </w:style>
  <w:style w:type="paragraph" w:customStyle="1" w:styleId="1fd">
    <w:name w:val="Знак Знак Знак1"/>
    <w:basedOn w:val="a0"/>
    <w:pPr>
      <w:tabs>
        <w:tab w:val="num" w:pos="360"/>
      </w:tabs>
      <w:spacing w:after="160" w:line="240" w:lineRule="exact"/>
    </w:pPr>
    <w:rPr>
      <w:rFonts w:ascii="Verdana" w:eastAsia="Times New Roman" w:hAnsi="Verdana" w:cs="Verdana"/>
      <w:sz w:val="20"/>
      <w:szCs w:val="20"/>
      <w:lang w:val="en-US"/>
    </w:rPr>
  </w:style>
  <w:style w:type="paragraph" w:customStyle="1" w:styleId="Normal1">
    <w:name w:val="Normal1"/>
    <w:pPr>
      <w:spacing w:after="0" w:line="240" w:lineRule="auto"/>
    </w:pPr>
    <w:rPr>
      <w:rFonts w:ascii="Times New Roman" w:eastAsia="Times New Roman" w:hAnsi="Times New Roman" w:cs="Times New Roman"/>
      <w:sz w:val="26"/>
      <w:szCs w:val="20"/>
      <w:lang w:eastAsia="ru-RU"/>
    </w:rPr>
  </w:style>
  <w:style w:type="paragraph" w:customStyle="1" w:styleId="CharCharCharChar1">
    <w:name w:val="Знак Знак Знак Знак Знак Знак Знак Знак Знак Char Char Знак Char Char1"/>
    <w:basedOn w:val="a0"/>
    <w:pPr>
      <w:tabs>
        <w:tab w:val="num" w:pos="360"/>
      </w:tabs>
      <w:spacing w:after="160" w:line="240" w:lineRule="exact"/>
    </w:pPr>
    <w:rPr>
      <w:rFonts w:ascii="Times New Roman" w:eastAsia="Times New Roman" w:hAnsi="Times New Roman" w:cs="Times New Roman"/>
      <w:sz w:val="24"/>
      <w:szCs w:val="24"/>
      <w:lang w:val="en-US" w:eastAsia="ru-RU"/>
    </w:rPr>
  </w:style>
  <w:style w:type="character" w:styleId="afffffb">
    <w:name w:val="FollowedHyperlink"/>
    <w:rPr>
      <w:color w:val="800080"/>
      <w:u w:val="single"/>
    </w:rPr>
  </w:style>
  <w:style w:type="character" w:customStyle="1" w:styleId="webofficeattributevalue1">
    <w:name w:val="webofficeattributevalue1"/>
    <w:rPr>
      <w:rFonts w:ascii="Verdana" w:hAnsi="Verdana" w:hint="default"/>
      <w:strike w:val="0"/>
      <w:color w:val="000000"/>
      <w:sz w:val="18"/>
      <w:szCs w:val="18"/>
      <w:u w:val="none"/>
    </w:rPr>
  </w:style>
  <w:style w:type="paragraph" w:customStyle="1" w:styleId="msolistparagraph0">
    <w:name w:val="msolistparagraph"/>
    <w:basedOn w:val="a0"/>
    <w:pPr>
      <w:spacing w:after="0" w:line="240" w:lineRule="auto"/>
      <w:ind w:left="720"/>
    </w:pPr>
    <w:rPr>
      <w:rFonts w:ascii="Calibri" w:eastAsia="Times New Roman" w:hAnsi="Calibri" w:cs="Times New Roman"/>
      <w:lang w:eastAsia="ru-RU"/>
    </w:rPr>
  </w:style>
  <w:style w:type="paragraph" w:customStyle="1" w:styleId="Revision1">
    <w:name w:val="Revision1"/>
    <w:hidden/>
    <w:uiPriority w:val="99"/>
    <w:semiHidden/>
    <w:pPr>
      <w:spacing w:after="0" w:line="240" w:lineRule="auto"/>
    </w:pPr>
    <w:rPr>
      <w:rFonts w:ascii="Times New Roman" w:eastAsia="Times New Roman" w:hAnsi="Times New Roman" w:cs="Times New Roman"/>
      <w:sz w:val="24"/>
      <w:szCs w:val="24"/>
      <w:lang w:eastAsia="ru-RU"/>
    </w:rPr>
  </w:style>
  <w:style w:type="character" w:styleId="afffffc">
    <w:name w:val="line number"/>
  </w:style>
  <w:style w:type="paragraph" w:customStyle="1" w:styleId="1fe">
    <w:name w:val="Рецензия1"/>
    <w:hidden/>
    <w:uiPriority w:val="99"/>
    <w:semiHidden/>
    <w:pPr>
      <w:spacing w:after="0" w:line="240" w:lineRule="auto"/>
    </w:pPr>
    <w:rPr>
      <w:rFonts w:ascii="Times New Roman" w:eastAsia="Times New Roman" w:hAnsi="Times New Roman" w:cs="Times New Roman"/>
      <w:sz w:val="24"/>
      <w:szCs w:val="24"/>
      <w:lang w:eastAsia="ru-RU"/>
    </w:rPr>
  </w:style>
  <w:style w:type="character" w:customStyle="1" w:styleId="defaultlabelstyle3">
    <w:name w:val="defaultlabelstyle3"/>
    <w:rPr>
      <w:rFonts w:ascii="Verdana" w:hAnsi="Verdana" w:hint="default"/>
      <w:b w:val="0"/>
      <w:bCs w:val="0"/>
      <w:color w:val="333333"/>
    </w:rPr>
  </w:style>
  <w:style w:type="paragraph" w:customStyle="1" w:styleId="112">
    <w:name w:val="Цветной список — акцент 11"/>
    <w:basedOn w:val="a0"/>
    <w:uiPriority w:val="34"/>
    <w:qFormat/>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pple-converted-space">
    <w:name w:val="apple-converted-space"/>
  </w:style>
  <w:style w:type="paragraph" w:customStyle="1" w:styleId="afffffd">
    <w:name w:val="Базовый"/>
    <w:pPr>
      <w:tabs>
        <w:tab w:val="left" w:pos="709"/>
      </w:tabs>
      <w:spacing w:after="0" w:line="200" w:lineRule="atLeast"/>
      <w:jc w:val="both"/>
    </w:pPr>
    <w:rPr>
      <w:rFonts w:ascii="Calibri" w:eastAsia="Times New Roman" w:hAnsi="Calibri" w:cs="Calibri"/>
    </w:rPr>
  </w:style>
  <w:style w:type="paragraph" w:customStyle="1" w:styleId="Pa42">
    <w:name w:val="Pa42"/>
    <w:basedOn w:val="Default"/>
    <w:next w:val="Default"/>
    <w:uiPriority w:val="99"/>
    <w:pPr>
      <w:spacing w:line="141" w:lineRule="atLeast"/>
    </w:pPr>
    <w:rPr>
      <w:rFonts w:ascii="Univers LT CYR 45 Light" w:eastAsia="Times New Roman" w:hAnsi="Univers LT CYR 45 Light"/>
      <w:color w:val="auto"/>
      <w:lang w:eastAsia="ru-RU"/>
    </w:rPr>
  </w:style>
  <w:style w:type="paragraph" w:customStyle="1" w:styleId="Pa25">
    <w:name w:val="Pa25"/>
    <w:basedOn w:val="Default"/>
    <w:next w:val="Default"/>
    <w:uiPriority w:val="99"/>
    <w:pPr>
      <w:spacing w:line="141" w:lineRule="atLeast"/>
    </w:pPr>
    <w:rPr>
      <w:rFonts w:ascii="Univers LT CYR 45 Light" w:hAnsi="Univers LT CYR 45 Light"/>
      <w:color w:val="auto"/>
    </w:rPr>
  </w:style>
  <w:style w:type="character" w:customStyle="1" w:styleId="A40">
    <w:name w:val="A4"/>
    <w:uiPriority w:val="99"/>
    <w:rPr>
      <w:rFonts w:ascii="Univers LT CYR 47 Lt Cn" w:hAnsi="Univers LT CYR 47 Lt Cn" w:cs="Univers LT CYR 47 Lt Cn" w:hint="default"/>
      <w:color w:val="000000"/>
      <w:sz w:val="18"/>
      <w:szCs w:val="18"/>
    </w:rPr>
  </w:style>
  <w:style w:type="paragraph" w:customStyle="1" w:styleId="Subsection">
    <w:name w:val="Subsection"/>
    <w:basedOn w:val="a0"/>
    <w:pPr>
      <w:widowControl w:val="0"/>
      <w:spacing w:before="240" w:after="120" w:line="240" w:lineRule="auto"/>
    </w:pPr>
    <w:rPr>
      <w:rFonts w:ascii="Times New Roman" w:eastAsia="Times New Roman" w:hAnsi="Times New Roman" w:cs="Times New Roman"/>
      <w:b/>
      <w:caps/>
      <w:sz w:val="24"/>
      <w:szCs w:val="24"/>
      <w:lang w:val="en-GB" w:eastAsia="ru-RU"/>
    </w:rPr>
  </w:style>
  <w:style w:type="character" w:customStyle="1" w:styleId="53">
    <w:name w:val="Основной текст (5)_"/>
    <w:link w:val="54"/>
    <w:rPr>
      <w:b/>
      <w:bCs/>
      <w:shd w:val="clear" w:color="auto" w:fill="FFFFFF"/>
    </w:rPr>
  </w:style>
  <w:style w:type="paragraph" w:customStyle="1" w:styleId="54">
    <w:name w:val="Основной текст (5)"/>
    <w:basedOn w:val="a0"/>
    <w:link w:val="53"/>
    <w:pPr>
      <w:widowControl w:val="0"/>
      <w:shd w:val="clear" w:color="auto" w:fill="FFFFFF"/>
      <w:spacing w:before="240" w:after="0" w:line="274" w:lineRule="exact"/>
      <w:jc w:val="both"/>
    </w:pPr>
    <w:rPr>
      <w:b/>
      <w:bCs/>
    </w:rPr>
  </w:style>
  <w:style w:type="paragraph" w:customStyle="1" w:styleId="1ff">
    <w:name w:val="Без интервала1"/>
    <w:pPr>
      <w:spacing w:after="0" w:line="240" w:lineRule="auto"/>
    </w:pPr>
    <w:rPr>
      <w:rFonts w:ascii="Times New Roman" w:eastAsia="Times New Roman" w:hAnsi="Times New Roman" w:cs="Times New Roman"/>
      <w:sz w:val="24"/>
      <w:szCs w:val="24"/>
    </w:rPr>
  </w:style>
  <w:style w:type="paragraph" w:customStyle="1" w:styleId="afffffe">
    <w:name w:val="ОСНОВНОЙ ТЕКСТ"/>
    <w:basedOn w:val="a0"/>
    <w:next w:val="a0"/>
    <w:qFormat/>
    <w:pPr>
      <w:tabs>
        <w:tab w:val="left" w:pos="1080"/>
        <w:tab w:val="left" w:pos="1320"/>
      </w:tabs>
      <w:spacing w:after="0" w:line="240" w:lineRule="auto"/>
      <w:ind w:firstLine="567"/>
      <w:jc w:val="both"/>
    </w:pPr>
    <w:rPr>
      <w:rFonts w:ascii="Times New Roman" w:eastAsia="Times New Roman" w:hAnsi="Times New Roman" w:cs="Times New Roman"/>
      <w:sz w:val="26"/>
      <w:szCs w:val="24"/>
      <w:lang w:eastAsia="ru-RU"/>
    </w:rPr>
  </w:style>
  <w:style w:type="table" w:customStyle="1" w:styleId="2e">
    <w:name w:val="Сетка таблицы2"/>
    <w:pPr>
      <w:spacing w:after="0" w:line="240" w:lineRule="auto"/>
    </w:pPr>
    <w:rPr>
      <w:rFonts w:eastAsiaTheme="minorEastAsia"/>
      <w:lang w:eastAsia="ru-RU"/>
    </w:rPr>
    <w:tblPr>
      <w:tblCellMar>
        <w:top w:w="0" w:type="dxa"/>
        <w:left w:w="0" w:type="dxa"/>
        <w:bottom w:w="0" w:type="dxa"/>
        <w:right w:w="0" w:type="dxa"/>
      </w:tblCellMar>
    </w:tblPr>
  </w:style>
  <w:style w:type="paragraph" w:styleId="44">
    <w:name w:val="toc 4"/>
    <w:basedOn w:val="a0"/>
    <w:next w:val="a0"/>
    <w:uiPriority w:val="39"/>
    <w:unhideWhenUsed/>
    <w:pPr>
      <w:spacing w:after="100"/>
      <w:ind w:left="660"/>
    </w:pPr>
    <w:rPr>
      <w:rFonts w:eastAsiaTheme="minorEastAsia"/>
      <w:lang w:eastAsia="ru-RU"/>
    </w:rPr>
  </w:style>
  <w:style w:type="paragraph" w:styleId="55">
    <w:name w:val="toc 5"/>
    <w:basedOn w:val="a0"/>
    <w:next w:val="a0"/>
    <w:uiPriority w:val="39"/>
    <w:unhideWhenUsed/>
    <w:pPr>
      <w:spacing w:after="100"/>
      <w:ind w:left="880"/>
    </w:pPr>
    <w:rPr>
      <w:rFonts w:eastAsiaTheme="minorEastAsia"/>
      <w:lang w:eastAsia="ru-RU"/>
    </w:rPr>
  </w:style>
  <w:style w:type="paragraph" w:styleId="62">
    <w:name w:val="toc 6"/>
    <w:basedOn w:val="a0"/>
    <w:next w:val="a0"/>
    <w:uiPriority w:val="39"/>
    <w:unhideWhenUsed/>
    <w:pPr>
      <w:spacing w:after="100"/>
      <w:ind w:left="1100"/>
    </w:pPr>
    <w:rPr>
      <w:rFonts w:eastAsiaTheme="minorEastAsia"/>
      <w:lang w:eastAsia="ru-RU"/>
    </w:rPr>
  </w:style>
  <w:style w:type="paragraph" w:styleId="71">
    <w:name w:val="toc 7"/>
    <w:basedOn w:val="a0"/>
    <w:next w:val="a0"/>
    <w:uiPriority w:val="39"/>
    <w:unhideWhenUsed/>
    <w:pPr>
      <w:spacing w:after="100"/>
      <w:ind w:left="1320"/>
    </w:pPr>
    <w:rPr>
      <w:rFonts w:eastAsiaTheme="minorEastAsia"/>
      <w:lang w:eastAsia="ru-RU"/>
    </w:rPr>
  </w:style>
  <w:style w:type="paragraph" w:styleId="81">
    <w:name w:val="toc 8"/>
    <w:basedOn w:val="a0"/>
    <w:next w:val="a0"/>
    <w:uiPriority w:val="39"/>
    <w:unhideWhenUsed/>
    <w:pPr>
      <w:spacing w:after="100"/>
      <w:ind w:left="1540"/>
    </w:pPr>
    <w:rPr>
      <w:rFonts w:eastAsiaTheme="minorEastAsia"/>
      <w:lang w:eastAsia="ru-RU"/>
    </w:rPr>
  </w:style>
  <w:style w:type="paragraph" w:styleId="91">
    <w:name w:val="toc 9"/>
    <w:basedOn w:val="a0"/>
    <w:next w:val="a0"/>
    <w:uiPriority w:val="39"/>
    <w:unhideWhenUsed/>
    <w:pPr>
      <w:spacing w:after="100"/>
      <w:ind w:left="1760"/>
    </w:pPr>
    <w:rPr>
      <w:rFonts w:eastAsiaTheme="minorEastAsia"/>
      <w:lang w:eastAsia="ru-RU"/>
    </w:rPr>
  </w:style>
  <w:style w:type="paragraph" w:customStyle="1" w:styleId="Pa35">
    <w:name w:val="Pa35"/>
    <w:basedOn w:val="Default"/>
    <w:next w:val="Default"/>
    <w:uiPriority w:val="99"/>
    <w:pPr>
      <w:spacing w:line="181" w:lineRule="atLeast"/>
    </w:pPr>
    <w:rPr>
      <w:rFonts w:ascii="Stem Text" w:eastAsiaTheme="minorHAnsi" w:hAnsi="Stem Text" w:cstheme="minorBidi"/>
      <w:color w:val="auto"/>
    </w:rPr>
  </w:style>
  <w:style w:type="numbering" w:customStyle="1" w:styleId="56">
    <w:name w:val="Нет списка5"/>
    <w:next w:val="a3"/>
    <w:uiPriority w:val="99"/>
    <w:semiHidden/>
    <w:unhideWhenUsed/>
  </w:style>
  <w:style w:type="paragraph" w:customStyle="1" w:styleId="ConsPlusNonformat">
    <w:name w:val="ConsPlusNonformat"/>
    <w:pPr>
      <w:widowControl w:val="0"/>
      <w:spacing w:after="0" w:line="240" w:lineRule="auto"/>
    </w:pPr>
    <w:rPr>
      <w:rFonts w:ascii="Courier New" w:eastAsia="Times New Roman" w:hAnsi="Courier New" w:cs="Courier New"/>
      <w:sz w:val="20"/>
      <w:szCs w:val="20"/>
      <w:lang w:eastAsia="ru-RU"/>
    </w:rPr>
  </w:style>
  <w:style w:type="paragraph" w:customStyle="1" w:styleId="ConsPlusCell">
    <w:name w:val="ConsPlusCell"/>
    <w:pPr>
      <w:widowControl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pPr>
      <w:widowControl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pPr>
      <w:widowControl w:val="0"/>
      <w:spacing w:after="0" w:line="240" w:lineRule="auto"/>
    </w:pPr>
    <w:rPr>
      <w:rFonts w:ascii="Tahoma" w:eastAsia="Times New Roman" w:hAnsi="Tahoma" w:cs="Tahoma"/>
      <w:sz w:val="20"/>
      <w:szCs w:val="20"/>
      <w:lang w:eastAsia="ru-RU"/>
    </w:rPr>
  </w:style>
  <w:style w:type="paragraph" w:customStyle="1" w:styleId="ConsPlusJurTerm">
    <w:name w:val="ConsPlusJurTerm"/>
    <w:pPr>
      <w:widowControl w:val="0"/>
      <w:spacing w:after="0" w:line="240" w:lineRule="auto"/>
    </w:pPr>
    <w:rPr>
      <w:rFonts w:ascii="Tahoma" w:eastAsia="Times New Roman" w:hAnsi="Tahoma" w:cs="Tahoma"/>
      <w:sz w:val="26"/>
      <w:szCs w:val="20"/>
      <w:lang w:eastAsia="ru-RU"/>
    </w:rPr>
  </w:style>
  <w:style w:type="character" w:customStyle="1" w:styleId="afff7">
    <w:name w:val="Без интервала Знак"/>
    <w:basedOn w:val="a1"/>
    <w:link w:val="afff6"/>
    <w:uiPriority w:val="1"/>
    <w:rPr>
      <w:rFonts w:ascii="Calibri" w:eastAsia="Calibri" w:hAnsi="Calibri" w:cs="Times New Roman"/>
      <w:lang w:eastAsia="ar-SA"/>
    </w:rPr>
  </w:style>
  <w:style w:type="paragraph" w:styleId="affffff">
    <w:name w:val="TOC Heading"/>
    <w:basedOn w:val="1"/>
    <w:next w:val="a0"/>
    <w:uiPriority w:val="39"/>
    <w:unhideWhenUsed/>
    <w:qFormat/>
    <w:pPr>
      <w:keepLines/>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styleId="a9">
    <w:name w:val="caption"/>
    <w:basedOn w:val="a0"/>
    <w:next w:val="a0"/>
    <w:link w:val="a8"/>
    <w:uiPriority w:val="35"/>
    <w:unhideWhenUsed/>
    <w:qFormat/>
    <w:pPr>
      <w:spacing w:line="240" w:lineRule="auto"/>
    </w:pPr>
    <w:rPr>
      <w:i/>
      <w:iCs/>
      <w:color w:val="44546A" w:themeColor="text2"/>
      <w:sz w:val="18"/>
      <w:szCs w:val="18"/>
    </w:rPr>
  </w:style>
  <w:style w:type="table" w:customStyle="1" w:styleId="2f">
    <w:name w:val="Сетка таблицы2"/>
    <w:basedOn w:val="a2"/>
    <w:next w:val="afa"/>
    <w:pPr>
      <w:spacing w:after="0" w:line="240" w:lineRule="auto"/>
    </w:pPr>
    <w:rPr>
      <w:rFonts w:ascii="Times New Roman" w:hAnsi="Times New Roman" w:cs="Arial"/>
      <w:color w:val="000000"/>
      <w:sz w:val="28"/>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0">
    <w:name w:val="РИСУНОК"/>
    <w:basedOn w:val="a0"/>
    <w:next w:val="a0"/>
    <w:qFormat/>
    <w:pPr>
      <w:tabs>
        <w:tab w:val="left" w:pos="0"/>
      </w:tabs>
      <w:spacing w:after="120" w:line="240" w:lineRule="auto"/>
      <w:jc w:val="both"/>
    </w:pPr>
    <w:rPr>
      <w:rFonts w:ascii="Times New Roman" w:eastAsia="Times New Roman" w:hAnsi="Times New Roman" w:cs="Times New Roman"/>
      <w:b/>
      <w:i/>
      <w:color w:val="00000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30.png"/><Relationship Id="rId26" Type="http://schemas.openxmlformats.org/officeDocument/2006/relationships/chart" Target="charts/chart7.xml"/><Relationship Id="rId39" Type="http://schemas.openxmlformats.org/officeDocument/2006/relationships/hyperlink" Target="http://chechenergo.ru/index.php/aktsioneram-i-investoram/ustav-i-vnutrennie-dokumenty/dokumenty-protsedur-korporativnogo-upravleniya" TargetMode="External"/><Relationship Id="rId21" Type="http://schemas.openxmlformats.org/officeDocument/2006/relationships/hyperlink" Target="https://www.rossetisk.ru/customer/sistema-obsluzhivaniia-potrebitelei/internet-priemnaia/reception/" TargetMode="External"/><Relationship Id="rId34" Type="http://schemas.openxmlformats.org/officeDocument/2006/relationships/chart" Target="charts/chart14.xml"/><Relationship Id="rId42"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chart" Target="charts/chart6.xml"/><Relationship Id="rId33" Type="http://schemas.openxmlformats.org/officeDocument/2006/relationships/chart" Target="charts/chart13.xml"/><Relationship Id="rId38" Type="http://schemas.openxmlformats.org/officeDocument/2006/relationships/hyperlink" Target="http://www.chechenergo.ru" TargetMode="External"/><Relationship Id="rId2" Type="http://schemas.openxmlformats.org/officeDocument/2006/relationships/numbering" Target="numbering.xml"/><Relationship Id="rId16" Type="http://schemas.openxmlformats.org/officeDocument/2006/relationships/image" Target="media/image20.png"/><Relationship Id="rId20" Type="http://schemas.openxmlformats.org/officeDocument/2006/relationships/chart" Target="charts/chart2.xml"/><Relationship Id="rId29" Type="http://schemas.openxmlformats.org/officeDocument/2006/relationships/hyperlink" Target="http://chechenergo.ru/index.php/aktsioneram-i-investoram/ob-yavleniya"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chart" Target="charts/chart5.xml"/><Relationship Id="rId32" Type="http://schemas.openxmlformats.org/officeDocument/2006/relationships/chart" Target="charts/chart12.xml"/><Relationship Id="rId37" Type="http://schemas.openxmlformats.org/officeDocument/2006/relationships/hyperlink" Target="http://www.zakupki.gov.ru" TargetMode="External"/><Relationship Id="rId40" Type="http://schemas.openxmlformats.org/officeDocument/2006/relationships/hyperlink" Target="http://www.chechenergo.ru"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6.xml"/><Relationship Id="rId19" Type="http://schemas.openxmlformats.org/officeDocument/2006/relationships/chart" Target="charts/chart1.xml"/><Relationship Id="rId31" Type="http://schemas.openxmlformats.org/officeDocument/2006/relationships/chart" Target="charts/chart11.xml"/><Relationship Id="rId4"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rosstat.gov.ru"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498100000000001"/>
          <c:y val="7.4654999999999999E-2"/>
          <c:w val="0.46709699999999998"/>
          <c:h val="0.74696600000000002"/>
        </c:manualLayout>
      </c:layout>
      <c:radarChart>
        <c:radarStyle val="marker"/>
        <c:varyColors val="0"/>
        <c:ser>
          <c:idx val="0"/>
          <c:order val="0"/>
          <c:tx>
            <c:strRef>
              <c:f>Лист1!$B$1</c:f>
              <c:strCache>
                <c:ptCount val="1"/>
                <c:pt idx="0">
                  <c:v>Оценка значимости риска</c:v>
                </c:pt>
              </c:strCache>
            </c:strRef>
          </c:tx>
          <c:cat>
            <c:strRef>
              <c:f>Лист1!$A$2:$A$17</c:f>
              <c:strCache>
                <c:ptCount val="16"/>
                <c:pt idx="0">
                  <c:v>Тарифные риски</c:v>
                </c:pt>
                <c:pt idx="1">
                  <c:v>Риск снижения объема услуг по передаче электрической энергии</c:v>
                </c:pt>
                <c:pt idx="2">
                  <c:v>Риски, связанные с предост. услуг технологического присоединения заявителем</c:v>
                </c:pt>
                <c:pt idx="3">
                  <c:v>Риск, связанный с неплат. за оказ. услуги по передаче электрической энергии</c:v>
                </c:pt>
                <c:pt idx="4">
                  <c:v>Риски, связанные с полит. и экон. ситуацией в стране и регионе</c:v>
                </c:pt>
                <c:pt idx="5">
                  <c:v>Риски, связанные с возмож. конфликтами и их проявлениями</c:v>
                </c:pt>
                <c:pt idx="6">
                  <c:v>Риски, связанные с геогр. особенностями страны или региона</c:v>
                </c:pt>
                <c:pt idx="7">
                  <c:v>Риски, связанные с изменением валютных курсов</c:v>
                </c:pt>
                <c:pt idx="8">
                  <c:v>Риски, связанные с изменением процентных ставок</c:v>
                </c:pt>
                <c:pt idx="9">
                  <c:v>Риски, связанные с влиянием инфляции</c:v>
                </c:pt>
                <c:pt idx="10">
                  <c:v>Правовые риски</c:v>
                </c:pt>
                <c:pt idx="11">
                  <c:v>Комплаенс-риск</c:v>
                </c:pt>
                <c:pt idx="12">
                  <c:v>Репутационный риск</c:v>
                </c:pt>
                <c:pt idx="13">
                  <c:v>Операционно-технологический риск</c:v>
                </c:pt>
                <c:pt idx="14">
                  <c:v>Инвестиционный риск</c:v>
                </c:pt>
                <c:pt idx="15">
                  <c:v>Риск неисполнения технических мероприятий ПСП </c:v>
                </c:pt>
              </c:strCache>
            </c:strRef>
          </c:cat>
          <c:val>
            <c:numRef>
              <c:f>Лист1!$B$2:$B$17</c:f>
              <c:numCache>
                <c:formatCode>General</c:formatCode>
                <c:ptCount val="16"/>
                <c:pt idx="0">
                  <c:v>7.5</c:v>
                </c:pt>
                <c:pt idx="1">
                  <c:v>2.5</c:v>
                </c:pt>
                <c:pt idx="2">
                  <c:v>7.5</c:v>
                </c:pt>
                <c:pt idx="3">
                  <c:v>7.5</c:v>
                </c:pt>
                <c:pt idx="4">
                  <c:v>7.5</c:v>
                </c:pt>
                <c:pt idx="5">
                  <c:v>7.5</c:v>
                </c:pt>
                <c:pt idx="6">
                  <c:v>2.5</c:v>
                </c:pt>
                <c:pt idx="7">
                  <c:v>2.5</c:v>
                </c:pt>
                <c:pt idx="8">
                  <c:v>2.5</c:v>
                </c:pt>
                <c:pt idx="9">
                  <c:v>7.5</c:v>
                </c:pt>
                <c:pt idx="10">
                  <c:v>7.5</c:v>
                </c:pt>
                <c:pt idx="11">
                  <c:v>7.5</c:v>
                </c:pt>
                <c:pt idx="12">
                  <c:v>7.5</c:v>
                </c:pt>
                <c:pt idx="13">
                  <c:v>7.5</c:v>
                </c:pt>
                <c:pt idx="14">
                  <c:v>7.5</c:v>
                </c:pt>
                <c:pt idx="15">
                  <c:v>7.5</c:v>
                </c:pt>
              </c:numCache>
            </c:numRef>
          </c:val>
          <c:extLst>
            <c:ext xmlns:c16="http://schemas.microsoft.com/office/drawing/2014/chart" uri="{C3380CC4-5D6E-409C-BE32-E72D297353CC}">
              <c16:uniqueId val="{00000000-CA7E-426C-A95A-BFD331E352C8}"/>
            </c:ext>
          </c:extLst>
        </c:ser>
        <c:dLbls>
          <c:showLegendKey val="0"/>
          <c:showVal val="0"/>
          <c:showCatName val="0"/>
          <c:showSerName val="0"/>
          <c:showPercent val="0"/>
          <c:showBubbleSize val="0"/>
        </c:dLbls>
        <c:axId val="168884096"/>
        <c:axId val="168885632"/>
      </c:radarChart>
      <c:catAx>
        <c:axId val="168884096"/>
        <c:scaling>
          <c:orientation val="minMax"/>
        </c:scaling>
        <c:delete val="0"/>
        <c:axPos val="b"/>
        <c:majorGridlines/>
        <c:numFmt formatCode="General" sourceLinked="0"/>
        <c:majorTickMark val="out"/>
        <c:minorTickMark val="none"/>
        <c:tickLblPos val="nextTo"/>
        <c:txPr>
          <a:bodyPr/>
          <a:lstStyle/>
          <a:p>
            <a:pPr>
              <a:defRPr sz="800"/>
            </a:pPr>
            <a:endParaRPr lang="ru-RU"/>
          </a:p>
        </c:txPr>
        <c:crossAx val="168885632"/>
        <c:crosses val="autoZero"/>
        <c:auto val="1"/>
        <c:lblAlgn val="ctr"/>
        <c:lblOffset val="100"/>
        <c:noMultiLvlLbl val="0"/>
      </c:catAx>
      <c:valAx>
        <c:axId val="168885632"/>
        <c:scaling>
          <c:orientation val="minMax"/>
        </c:scaling>
        <c:delete val="0"/>
        <c:axPos val="l"/>
        <c:majorGridlines>
          <c:spPr>
            <a:prstGeom prst="rect">
              <a:avLst/>
            </a:prstGeom>
            <a:ln w="19050">
              <a:solidFill>
                <a:srgbClr val="C0504D"/>
              </a:solidFill>
            </a:ln>
          </c:spPr>
        </c:majorGridlines>
        <c:numFmt formatCode="General" sourceLinked="1"/>
        <c:majorTickMark val="cross"/>
        <c:minorTickMark val="none"/>
        <c:tickLblPos val="none"/>
        <c:crossAx val="168884096"/>
        <c:crosses val="autoZero"/>
        <c:crossBetween val="between"/>
        <c:majorUnit val="5"/>
      </c:valAx>
    </c:plotArea>
    <c:legend>
      <c:legendPos val="b"/>
      <c:overlay val="0"/>
    </c:legend>
    <c:plotVisOnly val="1"/>
    <c:dispBlanksAs val="gap"/>
    <c:showDLblsOverMax val="0"/>
  </c:chart>
  <c:spPr>
    <a:prstGeom prst="rect">
      <a:avLst/>
    </a:prstGeom>
    <a:ln>
      <a:noFill/>
    </a:ln>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en-US" sz="1200">
                <a:solidFill>
                  <a:sysClr val="windowText" lastClr="000000"/>
                </a:solidFill>
              </a:rPr>
              <a:t>202</a:t>
            </a:r>
            <a:r>
              <a:rPr lang="ru-RU" sz="1200">
                <a:solidFill>
                  <a:sysClr val="windowText" lastClr="000000"/>
                </a:solidFill>
              </a:rPr>
              <a:t>2</a:t>
            </a:r>
            <a:endParaRPr lang="en-US" sz="1200">
              <a:solidFill>
                <a:sysClr val="windowText" lastClr="000000"/>
              </a:solidFill>
            </a:endParaRPr>
          </a:p>
        </c:rich>
      </c:tx>
      <c:overlay val="0"/>
      <c:spPr>
        <a:prstGeom prst="rect">
          <a:avLst/>
        </a:prstGeom>
        <a:noFill/>
        <a:ln>
          <a:noFill/>
        </a:ln>
        <a:effectLst/>
      </c:spPr>
    </c:title>
    <c:autoTitleDeleted val="0"/>
    <c:plotArea>
      <c:layout/>
      <c:pieChart>
        <c:varyColors val="1"/>
        <c:ser>
          <c:idx val="0"/>
          <c:order val="0"/>
          <c:tx>
            <c:strRef>
              <c:f>Лист1!$B$1</c:f>
              <c:strCache>
                <c:ptCount val="1"/>
                <c:pt idx="0">
                  <c:v>2022</c:v>
                </c:pt>
              </c:strCache>
            </c:strRef>
          </c:tx>
          <c:dPt>
            <c:idx val="0"/>
            <c:bubble3D val="0"/>
            <c:spPr>
              <a:prstGeom prst="rect">
                <a:avLst/>
              </a:prstGeom>
              <a:solidFill>
                <a:schemeClr val="accent1"/>
              </a:solidFill>
              <a:ln w="19050">
                <a:solidFill>
                  <a:schemeClr val="lt1"/>
                </a:solidFill>
              </a:ln>
              <a:effectLst/>
            </c:spPr>
            <c:extLst>
              <c:ext xmlns:c16="http://schemas.microsoft.com/office/drawing/2014/chart" uri="{C3380CC4-5D6E-409C-BE32-E72D297353CC}">
                <c16:uniqueId val="{00000001-B59F-47AE-B199-CE62B26C8C11}"/>
              </c:ext>
            </c:extLst>
          </c:dPt>
          <c:dPt>
            <c:idx val="1"/>
            <c:bubble3D val="0"/>
            <c:spPr>
              <a:prstGeom prst="rect">
                <a:avLst/>
              </a:prstGeom>
              <a:solidFill>
                <a:schemeClr val="accent2"/>
              </a:solidFill>
              <a:ln w="19050">
                <a:solidFill>
                  <a:schemeClr val="lt1"/>
                </a:solidFill>
              </a:ln>
              <a:effectLst/>
            </c:spPr>
            <c:extLst>
              <c:ext xmlns:c16="http://schemas.microsoft.com/office/drawing/2014/chart" uri="{C3380CC4-5D6E-409C-BE32-E72D297353CC}">
                <c16:uniqueId val="{00000003-B59F-47AE-B199-CE62B26C8C1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a:solidFill>
                      <a:sysClr val="windowText" lastClr="000000"/>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prstGeom prst="rect">
                  <a:avLst/>
                </a:prstGeom>
                <a:ln w="9525">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Лист1!$A$2:$A$3</c:f>
              <c:strCache>
                <c:ptCount val="2"/>
                <c:pt idx="0">
                  <c:v>НВВ Чеченэнерго</c:v>
                </c:pt>
                <c:pt idx="1">
                  <c:v>НВВ ТСО</c:v>
                </c:pt>
              </c:strCache>
            </c:strRef>
          </c:cat>
          <c:val>
            <c:numRef>
              <c:f>Лист1!$B$2:$B$3</c:f>
              <c:numCache>
                <c:formatCode>0.0%</c:formatCode>
                <c:ptCount val="2"/>
                <c:pt idx="0">
                  <c:v>0.996</c:v>
                </c:pt>
                <c:pt idx="1">
                  <c:v>4.0000000000000001E-3</c:v>
                </c:pt>
              </c:numCache>
            </c:numRef>
          </c:val>
          <c:extLst>
            <c:ext xmlns:c16="http://schemas.microsoft.com/office/drawing/2014/chart" uri="{C3380CC4-5D6E-409C-BE32-E72D297353CC}">
              <c16:uniqueId val="{00000004-B59F-47AE-B199-CE62B26C8C11}"/>
            </c:ext>
          </c:extLst>
        </c:ser>
        <c:dLbls>
          <c:dLblPos val="bestFit"/>
          <c:showLegendKey val="0"/>
          <c:showVal val="1"/>
          <c:showCatName val="0"/>
          <c:showSerName val="0"/>
          <c:showPercent val="0"/>
          <c:showBubbleSize val="0"/>
          <c:showLeaderLines val="1"/>
        </c:dLbls>
        <c:firstSliceAng val="0"/>
      </c:pieChart>
      <c:spPr>
        <a:prstGeom prst="rect">
          <a:avLst/>
        </a:prstGeom>
        <a:noFill/>
        <a:ln>
          <a:noFill/>
        </a:ln>
        <a:effectLst/>
      </c:spPr>
    </c:plotArea>
    <c:legend>
      <c:legendPos val="b"/>
      <c:layout>
        <c:manualLayout>
          <c:xMode val="edge"/>
          <c:yMode val="edge"/>
          <c:x val="0.148781"/>
          <c:y val="0.86681200000000003"/>
          <c:w val="0.82167900000000005"/>
          <c:h val="9.8253999999999994E-2"/>
        </c:manualLayout>
      </c:layout>
      <c:overlay val="0"/>
      <c:spPr>
        <a:prstGeom prst="rect">
          <a:avLst/>
        </a:prstGeom>
        <a:noFill/>
        <a:ln>
          <a:noFill/>
        </a:ln>
        <a:effectLst/>
      </c:spPr>
      <c:txPr>
        <a:bodyPr rot="0" spcFirstLastPara="1" vertOverflow="ellipsis" vert="horz" wrap="square" anchor="ctr" anchorCtr="1"/>
        <a:lstStyle/>
        <a:p>
          <a:pPr>
            <a:defRPr sz="900" b="0" i="0" u="none" strike="noStrike">
              <a:solidFill>
                <a:sysClr val="windowText" lastClr="000000"/>
              </a:solidFill>
              <a:latin typeface="+mn-lt"/>
              <a:ea typeface="+mn-ea"/>
              <a:cs typeface="+mn-cs"/>
            </a:defRPr>
          </a:pPr>
          <a:endParaRPr lang="ru-RU"/>
        </a:p>
      </c:txPr>
    </c:legend>
    <c:plotVisOnly val="1"/>
    <c:dispBlanksAs val="gap"/>
    <c:showDLblsOverMax val="0"/>
  </c:chart>
  <c:spPr>
    <a:prstGeom prst="rect">
      <a:avLst/>
    </a:prstGeom>
    <a:solidFill>
      <a:schemeClr val="bg1"/>
    </a:solidFill>
    <a:ln w="9525">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en-US" sz="1200">
                <a:solidFill>
                  <a:sysClr val="windowText" lastClr="000000"/>
                </a:solidFill>
              </a:rPr>
              <a:t>2023</a:t>
            </a:r>
            <a:endParaRPr lang="en-US"/>
          </a:p>
        </c:rich>
      </c:tx>
      <c:overlay val="0"/>
      <c:spPr>
        <a:prstGeom prst="rect">
          <a:avLst/>
        </a:prstGeom>
        <a:noFill/>
        <a:ln>
          <a:noFill/>
        </a:ln>
        <a:effectLst/>
      </c:spPr>
    </c:title>
    <c:autoTitleDeleted val="0"/>
    <c:plotArea>
      <c:layout/>
      <c:pieChart>
        <c:varyColors val="1"/>
        <c:ser>
          <c:idx val="0"/>
          <c:order val="0"/>
          <c:tx>
            <c:strRef>
              <c:f>Лист1!$B$1</c:f>
              <c:strCache>
                <c:ptCount val="1"/>
                <c:pt idx="0">
                  <c:v>2023</c:v>
                </c:pt>
              </c:strCache>
            </c:strRef>
          </c:tx>
          <c:dPt>
            <c:idx val="0"/>
            <c:bubble3D val="0"/>
            <c:spPr>
              <a:prstGeom prst="rect">
                <a:avLst/>
              </a:prstGeom>
              <a:solidFill>
                <a:schemeClr val="accent1"/>
              </a:solidFill>
              <a:ln w="19050">
                <a:solidFill>
                  <a:schemeClr val="lt1"/>
                </a:solidFill>
              </a:ln>
              <a:effectLst/>
            </c:spPr>
            <c:extLst>
              <c:ext xmlns:c16="http://schemas.microsoft.com/office/drawing/2014/chart" uri="{C3380CC4-5D6E-409C-BE32-E72D297353CC}">
                <c16:uniqueId val="{00000001-1690-424B-98D1-56D01FDEC31A}"/>
              </c:ext>
            </c:extLst>
          </c:dPt>
          <c:dPt>
            <c:idx val="1"/>
            <c:bubble3D val="0"/>
            <c:spPr>
              <a:prstGeom prst="rect">
                <a:avLst/>
              </a:prstGeom>
              <a:solidFill>
                <a:schemeClr val="accent2"/>
              </a:solidFill>
              <a:ln w="19050">
                <a:solidFill>
                  <a:schemeClr val="lt1"/>
                </a:solidFill>
              </a:ln>
              <a:effectLst/>
            </c:spPr>
            <c:extLst>
              <c:ext xmlns:c16="http://schemas.microsoft.com/office/drawing/2014/chart" uri="{C3380CC4-5D6E-409C-BE32-E72D297353CC}">
                <c16:uniqueId val="{00000003-1690-424B-98D1-56D01FDEC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a:solidFill>
                      <a:sysClr val="windowText" lastClr="000000"/>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prstGeom prst="rect">
                  <a:avLst/>
                </a:prstGeom>
                <a:ln w="9525">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Лист1!$A$2:$A$3</c:f>
              <c:strCache>
                <c:ptCount val="2"/>
                <c:pt idx="0">
                  <c:v>НВВ Россети СК</c:v>
                </c:pt>
                <c:pt idx="1">
                  <c:v>НВВ ТСО</c:v>
                </c:pt>
              </c:strCache>
            </c:strRef>
          </c:cat>
          <c:val>
            <c:numRef>
              <c:f>Лист1!$B$2:$B$3</c:f>
              <c:numCache>
                <c:formatCode>0.0%</c:formatCode>
                <c:ptCount val="2"/>
                <c:pt idx="0">
                  <c:v>0.98299999999999998</c:v>
                </c:pt>
                <c:pt idx="1">
                  <c:v>1.7000000000000001E-2</c:v>
                </c:pt>
              </c:numCache>
            </c:numRef>
          </c:val>
          <c:extLst>
            <c:ext xmlns:c16="http://schemas.microsoft.com/office/drawing/2014/chart" uri="{C3380CC4-5D6E-409C-BE32-E72D297353CC}">
              <c16:uniqueId val="{00000004-1690-424B-98D1-56D01FDEC31A}"/>
            </c:ext>
          </c:extLst>
        </c:ser>
        <c:dLbls>
          <c:dLblPos val="bestFit"/>
          <c:showLegendKey val="0"/>
          <c:showVal val="1"/>
          <c:showCatName val="0"/>
          <c:showSerName val="0"/>
          <c:showPercent val="0"/>
          <c:showBubbleSize val="0"/>
          <c:showLeaderLines val="1"/>
        </c:dLbls>
        <c:firstSliceAng val="0"/>
      </c:pieChart>
      <c:spPr>
        <a:prstGeom prst="rect">
          <a:avLst/>
        </a:prstGeom>
        <a:noFill/>
        <a:ln>
          <a:noFill/>
        </a:ln>
        <a:effectLst/>
      </c:spPr>
    </c:plotArea>
    <c:legend>
      <c:legendPos val="b"/>
      <c:overlay val="0"/>
      <c:spPr>
        <a:prstGeom prst="rect">
          <a:avLst/>
        </a:prstGeom>
        <a:noFill/>
        <a:ln>
          <a:noFill/>
          <a:miter/>
        </a:ln>
        <a:effectLst/>
      </c:spPr>
      <c:txPr>
        <a:bodyPr rot="0" spcFirstLastPara="1" vertOverflow="ellipsis" vert="horz" wrap="square" anchor="ctr" anchorCtr="1"/>
        <a:lstStyle/>
        <a:p>
          <a:pPr>
            <a:defRPr sz="900" b="0" i="0" u="none" strike="noStrike">
              <a:solidFill>
                <a:sysClr val="windowText" lastClr="000000"/>
              </a:solidFill>
              <a:latin typeface="+mn-lt"/>
              <a:ea typeface="+mn-ea"/>
              <a:cs typeface="+mn-cs"/>
            </a:defRPr>
          </a:pPr>
          <a:endParaRPr lang="ru-RU"/>
        </a:p>
      </c:txPr>
    </c:legend>
    <c:plotVisOnly val="1"/>
    <c:dispBlanksAs val="gap"/>
    <c:showDLblsOverMax val="0"/>
  </c:chart>
  <c:spPr>
    <a:prstGeom prst="rect">
      <a:avLst/>
    </a:prstGeom>
    <a:noFill/>
    <a:ln w="9525">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spc="0">
                <a:solidFill>
                  <a:schemeClr val="tx1">
                    <a:lumMod val="65000"/>
                    <a:lumOff val="35000"/>
                  </a:schemeClr>
                </a:solidFill>
                <a:latin typeface="+mn-lt"/>
                <a:ea typeface="+mn-ea"/>
                <a:cs typeface="+mn-cs"/>
              </a:defRPr>
            </a:pPr>
            <a:r>
              <a:rPr lang="en-US" sz="1200">
                <a:solidFill>
                  <a:sysClr val="windowText" lastClr="000000"/>
                </a:solidFill>
              </a:rPr>
              <a:t>202</a:t>
            </a:r>
            <a:r>
              <a:rPr lang="ru-RU" sz="1200">
                <a:solidFill>
                  <a:sysClr val="windowText" lastClr="000000"/>
                </a:solidFill>
              </a:rPr>
              <a:t>4</a:t>
            </a:r>
            <a:endParaRPr lang="en-US" sz="1200">
              <a:solidFill>
                <a:sysClr val="windowText" lastClr="000000"/>
              </a:solidFill>
            </a:endParaRPr>
          </a:p>
        </c:rich>
      </c:tx>
      <c:overlay val="0"/>
      <c:spPr>
        <a:prstGeom prst="rect">
          <a:avLst/>
        </a:prstGeom>
        <a:noFill/>
        <a:ln>
          <a:noFill/>
        </a:ln>
        <a:effectLst/>
      </c:spPr>
    </c:title>
    <c:autoTitleDeleted val="0"/>
    <c:plotArea>
      <c:layout/>
      <c:pieChart>
        <c:varyColors val="1"/>
        <c:ser>
          <c:idx val="0"/>
          <c:order val="0"/>
          <c:tx>
            <c:strRef>
              <c:f>Лист1!$B$1</c:f>
              <c:strCache>
                <c:ptCount val="1"/>
                <c:pt idx="0">
                  <c:v>2024</c:v>
                </c:pt>
              </c:strCache>
            </c:strRef>
          </c:tx>
          <c:dPt>
            <c:idx val="0"/>
            <c:bubble3D val="0"/>
            <c:spPr>
              <a:prstGeom prst="rect">
                <a:avLst/>
              </a:prstGeom>
              <a:solidFill>
                <a:schemeClr val="accent1"/>
              </a:solidFill>
              <a:ln w="19050">
                <a:solidFill>
                  <a:schemeClr val="lt1"/>
                </a:solidFill>
              </a:ln>
              <a:effectLst/>
            </c:spPr>
            <c:extLst>
              <c:ext xmlns:c16="http://schemas.microsoft.com/office/drawing/2014/chart" uri="{C3380CC4-5D6E-409C-BE32-E72D297353CC}">
                <c16:uniqueId val="{00000001-8DAD-4EE8-A3FF-E9EAB870B832}"/>
              </c:ext>
            </c:extLst>
          </c:dPt>
          <c:dPt>
            <c:idx val="1"/>
            <c:bubble3D val="0"/>
            <c:spPr>
              <a:prstGeom prst="rect">
                <a:avLst/>
              </a:prstGeom>
              <a:solidFill>
                <a:schemeClr val="accent2"/>
              </a:solidFill>
              <a:ln w="19050">
                <a:solidFill>
                  <a:schemeClr val="lt1"/>
                </a:solidFill>
              </a:ln>
              <a:effectLst/>
            </c:spPr>
            <c:extLst>
              <c:ext xmlns:c16="http://schemas.microsoft.com/office/drawing/2014/chart" uri="{C3380CC4-5D6E-409C-BE32-E72D297353CC}">
                <c16:uniqueId val="{00000003-8DAD-4EE8-A3FF-E9EAB870B83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a:solidFill>
                      <a:sysClr val="windowText" lastClr="000000"/>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prstGeom prst="rect">
                  <a:avLst/>
                </a:prstGeom>
                <a:ln w="9525">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Лист1!$A$2:$A$3</c:f>
              <c:strCache>
                <c:ptCount val="2"/>
                <c:pt idx="0">
                  <c:v>НВВ Чеченэнерго</c:v>
                </c:pt>
                <c:pt idx="1">
                  <c:v>НВВ ТСО</c:v>
                </c:pt>
              </c:strCache>
            </c:strRef>
          </c:cat>
          <c:val>
            <c:numRef>
              <c:f>Лист1!$B$2:$B$3</c:f>
              <c:numCache>
                <c:formatCode>0.0%</c:formatCode>
                <c:ptCount val="2"/>
                <c:pt idx="0">
                  <c:v>0.98161362647881034</c:v>
                </c:pt>
                <c:pt idx="1">
                  <c:v>1.8386373521189655E-2</c:v>
                </c:pt>
              </c:numCache>
            </c:numRef>
          </c:val>
          <c:extLst>
            <c:ext xmlns:c16="http://schemas.microsoft.com/office/drawing/2014/chart" uri="{C3380CC4-5D6E-409C-BE32-E72D297353CC}">
              <c16:uniqueId val="{00000004-8DAD-4EE8-A3FF-E9EAB870B832}"/>
            </c:ext>
          </c:extLst>
        </c:ser>
        <c:dLbls>
          <c:dLblPos val="bestFit"/>
          <c:showLegendKey val="0"/>
          <c:showVal val="1"/>
          <c:showCatName val="0"/>
          <c:showSerName val="0"/>
          <c:showPercent val="0"/>
          <c:showBubbleSize val="0"/>
          <c:showLeaderLines val="1"/>
        </c:dLbls>
        <c:firstSliceAng val="0"/>
      </c:pieChart>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ysClr val="windowText" lastClr="000000"/>
              </a:solidFill>
              <a:latin typeface="+mn-lt"/>
              <a:ea typeface="+mn-ea"/>
              <a:cs typeface="+mn-cs"/>
            </a:defRPr>
          </a:pPr>
          <a:endParaRPr lang="ru-RU"/>
        </a:p>
      </c:txPr>
    </c:legend>
    <c:plotVisOnly val="1"/>
    <c:dispBlanksAs val="gap"/>
    <c:showDLblsOverMax val="0"/>
  </c:chart>
  <c:spPr>
    <a:prstGeom prst="rect">
      <a:avLst/>
    </a:prstGeom>
    <a:solidFill>
      <a:schemeClr val="bg1"/>
    </a:solidFill>
    <a:ln w="9525">
      <a:no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prstGeom prst="rect">
              <a:avLst/>
            </a:prstGeom>
            <a:solidFill>
              <a:srgbClr val="4F81BD"/>
            </a:solidFill>
            <a:ln w="24195">
              <a:noFill/>
            </a:ln>
          </c:spPr>
          <c:invertIfNegative val="0"/>
          <c:dLbls>
            <c:dLbl>
              <c:idx val="0"/>
              <c:tx>
                <c:rich>
                  <a:bodyPr/>
                  <a:lstStyle/>
                  <a:p>
                    <a:r>
                      <a:rPr lang="en-US"/>
                      <a:t>2378,8</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60-49D2-9B33-8BE704D62C7D}"/>
                </c:ext>
              </c:extLst>
            </c:dLbl>
            <c:dLbl>
              <c:idx val="1"/>
              <c:layout>
                <c:manualLayout>
                  <c:x val="7.0549999999999996E-3"/>
                  <c:y val="5.7720000000000002E-3"/>
                </c:manualLayout>
              </c:layout>
              <c:tx>
                <c:rich>
                  <a:bodyPr/>
                  <a:lstStyle/>
                  <a:p>
                    <a:r>
                      <a:rPr lang="en-US"/>
                      <a:t>2390,4</a:t>
                    </a:r>
                  </a:p>
                </c:rich>
              </c:tx>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60-49D2-9B33-8BE704D62C7D}"/>
                </c:ext>
              </c:extLst>
            </c:dLbl>
            <c:dLbl>
              <c:idx val="2"/>
              <c:layout>
                <c:manualLayout>
                  <c:x val="0"/>
                  <c:y val="1.6559999999999998E-2"/>
                </c:manualLayout>
              </c:layout>
              <c:tx>
                <c:rich>
                  <a:bodyPr/>
                  <a:lstStyle/>
                  <a:p>
                    <a:r>
                      <a:rPr lang="en-US"/>
                      <a:t>2353,2</a:t>
                    </a:r>
                  </a:p>
                </c:rich>
              </c:tx>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60-49D2-9B33-8BE704D62C7D}"/>
                </c:ext>
              </c:extLst>
            </c:dLbl>
            <c:numFmt formatCode="#,##0.00" sourceLinked="0"/>
            <c:spPr>
              <a:noFill/>
              <a:ln w="24195">
                <a:noFill/>
              </a:ln>
            </c:spPr>
            <c:txPr>
              <a:bodyPr rot="0" spcFirstLastPara="1" vertOverflow="ellipsis" vert="horz" wrap="square" lIns="38100" tIns="19050" rIns="38100" bIns="19050" anchor="ctr" anchorCtr="1">
                <a:spAutoFit/>
              </a:bodyPr>
              <a:lstStyle/>
              <a:p>
                <a:pPr>
                  <a:defRPr sz="95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Лист1!$A$2:$A$4</c:f>
              <c:numCache>
                <c:formatCode>General</c:formatCode>
                <c:ptCount val="3"/>
                <c:pt idx="0">
                  <c:v>2022</c:v>
                </c:pt>
                <c:pt idx="1">
                  <c:v>2023</c:v>
                </c:pt>
                <c:pt idx="2">
                  <c:v>2024</c:v>
                </c:pt>
              </c:numCache>
            </c:numRef>
          </c:cat>
          <c:val>
            <c:numRef>
              <c:f>Лист1!$B$2:$B$4</c:f>
              <c:numCache>
                <c:formatCode>#,##0.0</c:formatCode>
                <c:ptCount val="3"/>
                <c:pt idx="0">
                  <c:v>2378.8000000000002</c:v>
                </c:pt>
                <c:pt idx="1">
                  <c:v>2390.4</c:v>
                </c:pt>
                <c:pt idx="2">
                  <c:v>2353.1999999999998</c:v>
                </c:pt>
              </c:numCache>
            </c:numRef>
          </c:val>
          <c:extLst>
            <c:ext xmlns:c16="http://schemas.microsoft.com/office/drawing/2014/chart" uri="{C3380CC4-5D6E-409C-BE32-E72D297353CC}">
              <c16:uniqueId val="{00000003-7F60-49D2-9B33-8BE704D62C7D}"/>
            </c:ext>
          </c:extLst>
        </c:ser>
        <c:dLbls>
          <c:showLegendKey val="0"/>
          <c:showVal val="0"/>
          <c:showCatName val="0"/>
          <c:showSerName val="0"/>
          <c:showPercent val="0"/>
          <c:showBubbleSize val="0"/>
        </c:dLbls>
        <c:gapWidth val="150"/>
        <c:axId val="170806656"/>
        <c:axId val="170828928"/>
      </c:barChart>
      <c:catAx>
        <c:axId val="170806656"/>
        <c:scaling>
          <c:orientation val="minMax"/>
        </c:scaling>
        <c:delete val="0"/>
        <c:axPos val="b"/>
        <c:numFmt formatCode="@" sourceLinked="0"/>
        <c:majorTickMark val="out"/>
        <c:minorTickMark val="none"/>
        <c:tickLblPos val="nextTo"/>
        <c:spPr>
          <a:prstGeom prst="rect">
            <a:avLst/>
          </a:prstGeom>
          <a:noFill/>
          <a:ln w="9073"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50" b="0" i="0" u="none" strike="noStrike">
                <a:solidFill>
                  <a:schemeClr val="tx1"/>
                </a:solidFill>
                <a:latin typeface="+mn-lt"/>
                <a:ea typeface="+mn-ea"/>
                <a:cs typeface="+mn-cs"/>
              </a:defRPr>
            </a:pPr>
            <a:endParaRPr lang="ru-RU"/>
          </a:p>
        </c:txPr>
        <c:crossAx val="170828928"/>
        <c:crosses val="autoZero"/>
        <c:auto val="1"/>
        <c:lblAlgn val="ctr"/>
        <c:lblOffset val="100"/>
        <c:noMultiLvlLbl val="0"/>
      </c:catAx>
      <c:valAx>
        <c:axId val="170828928"/>
        <c:scaling>
          <c:orientation val="minMax"/>
          <c:max val="2500"/>
          <c:min val="2000"/>
        </c:scaling>
        <c:delete val="0"/>
        <c:axPos val="l"/>
        <c:majorGridlines>
          <c:spPr>
            <a:prstGeom prst="rect">
              <a:avLst/>
            </a:prstGeom>
            <a:ln w="9073" cap="flat" cmpd="sng" algn="ctr">
              <a:solidFill>
                <a:schemeClr val="tx1">
                  <a:tint val="75000"/>
                  <a:shade val="95000"/>
                  <a:satMod val="105000"/>
                </a:schemeClr>
              </a:solidFill>
              <a:prstDash val="solid"/>
              <a:round/>
            </a:ln>
            <a:effectLst/>
          </c:spPr>
        </c:majorGridlines>
        <c:numFmt formatCode="#,##0.0" sourceLinked="1"/>
        <c:majorTickMark val="out"/>
        <c:minorTickMark val="none"/>
        <c:tickLblPos val="nextTo"/>
        <c:spPr>
          <a:prstGeom prst="rect">
            <a:avLst/>
          </a:prstGeom>
          <a:noFill/>
          <a:ln w="9073"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50" b="0" i="0" u="none" strike="noStrike">
                <a:solidFill>
                  <a:schemeClr val="tx1"/>
                </a:solidFill>
                <a:latin typeface="+mn-lt"/>
                <a:ea typeface="+mn-ea"/>
                <a:cs typeface="+mn-cs"/>
              </a:defRPr>
            </a:pPr>
            <a:endParaRPr lang="ru-RU"/>
          </a:p>
        </c:txPr>
        <c:crossAx val="170806656"/>
        <c:crosses val="autoZero"/>
        <c:crossBetween val="between"/>
        <c:majorUnit val="100"/>
        <c:minorUnit val="10"/>
      </c:valAx>
      <c:spPr>
        <a:prstGeom prst="rect">
          <a:avLst/>
        </a:prstGeom>
        <a:solidFill>
          <a:schemeClr val="bg1"/>
        </a:solidFill>
        <a:ln>
          <a:noFill/>
        </a:ln>
        <a:effectLst/>
      </c:spPr>
    </c:plotArea>
    <c:plotVisOnly val="1"/>
    <c:dispBlanksAs val="gap"/>
    <c:showDLblsOverMax val="0"/>
  </c:chart>
  <c:spPr>
    <a:prstGeom prst="rect">
      <a:avLst/>
    </a:prstGeom>
    <a:solidFill>
      <a:schemeClr val="bg1"/>
    </a:solidFill>
    <a:ln w="9073" cap="flat" cmpd="sng" algn="ctr">
      <a:solidFill>
        <a:schemeClr val="tx1">
          <a:tint val="75000"/>
          <a:shade val="95000"/>
          <a:satMod val="105000"/>
        </a:schemeClr>
      </a:solidFill>
      <a:prstDash val="solid"/>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623"/>
          <c:y val="5.3823000000000003E-2"/>
          <c:w val="0.63964600000000005"/>
          <c:h val="0.80457500000000004"/>
        </c:manualLayout>
      </c:layout>
      <c:barChart>
        <c:barDir val="col"/>
        <c:grouping val="percentStacked"/>
        <c:varyColors val="0"/>
        <c:ser>
          <c:idx val="0"/>
          <c:order val="0"/>
          <c:tx>
            <c:strRef>
              <c:f>'ЧЭ, возраст'!$A$2</c:f>
              <c:strCache>
                <c:ptCount val="1"/>
                <c:pt idx="0">
                  <c:v>до 35 лет</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возраст'!$B$1:$D$1</c:f>
              <c:strCache>
                <c:ptCount val="3"/>
                <c:pt idx="0">
                  <c:v>2022 год</c:v>
                </c:pt>
                <c:pt idx="1">
                  <c:v>2023 год</c:v>
                </c:pt>
                <c:pt idx="2">
                  <c:v>2024 год</c:v>
                </c:pt>
              </c:strCache>
            </c:strRef>
          </c:cat>
          <c:val>
            <c:numRef>
              <c:f>'ЧЭ, возраст'!$B$2:$D$2</c:f>
              <c:numCache>
                <c:formatCode>General</c:formatCode>
                <c:ptCount val="3"/>
                <c:pt idx="0">
                  <c:v>45.23</c:v>
                </c:pt>
                <c:pt idx="1">
                  <c:v>41.16</c:v>
                </c:pt>
                <c:pt idx="2" formatCode="0.00">
                  <c:v>30.98</c:v>
                </c:pt>
              </c:numCache>
            </c:numRef>
          </c:val>
          <c:extLst>
            <c:ext xmlns:c16="http://schemas.microsoft.com/office/drawing/2014/chart" uri="{C3380CC4-5D6E-409C-BE32-E72D297353CC}">
              <c16:uniqueId val="{00000000-2F53-4503-A95B-A6C2F28FDD66}"/>
            </c:ext>
          </c:extLst>
        </c:ser>
        <c:ser>
          <c:idx val="1"/>
          <c:order val="1"/>
          <c:tx>
            <c:strRef>
              <c:f>'ЧЭ, возраст'!$A$3</c:f>
              <c:strCache>
                <c:ptCount val="1"/>
                <c:pt idx="0">
                  <c:v>от 35 до 50 лет</c:v>
                </c:pt>
              </c:strCache>
            </c:strRef>
          </c:tx>
          <c:invertIfNegative val="0"/>
          <c:dLbls>
            <c:spPr>
              <a:noFill/>
              <a:ln>
                <a:noFill/>
                <a:beve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возраст'!$B$1:$D$1</c:f>
              <c:strCache>
                <c:ptCount val="3"/>
                <c:pt idx="0">
                  <c:v>2022 год</c:v>
                </c:pt>
                <c:pt idx="1">
                  <c:v>2023 год</c:v>
                </c:pt>
                <c:pt idx="2">
                  <c:v>2024 год</c:v>
                </c:pt>
              </c:strCache>
            </c:strRef>
          </c:cat>
          <c:val>
            <c:numRef>
              <c:f>'ЧЭ, возраст'!$B$3:$D$3</c:f>
              <c:numCache>
                <c:formatCode>General</c:formatCode>
                <c:ptCount val="3"/>
                <c:pt idx="0">
                  <c:v>28.49</c:v>
                </c:pt>
                <c:pt idx="1">
                  <c:v>35.590000000000003</c:v>
                </c:pt>
                <c:pt idx="2" formatCode="0.00">
                  <c:v>39.090000000000003</c:v>
                </c:pt>
              </c:numCache>
            </c:numRef>
          </c:val>
          <c:extLst>
            <c:ext xmlns:c16="http://schemas.microsoft.com/office/drawing/2014/chart" uri="{C3380CC4-5D6E-409C-BE32-E72D297353CC}">
              <c16:uniqueId val="{00000001-2F53-4503-A95B-A6C2F28FDD66}"/>
            </c:ext>
          </c:extLst>
        </c:ser>
        <c:ser>
          <c:idx val="2"/>
          <c:order val="2"/>
          <c:tx>
            <c:strRef>
              <c:f>'ЧЭ, возраст'!$A$4</c:f>
              <c:strCache>
                <c:ptCount val="1"/>
                <c:pt idx="0">
                  <c:v>старше 50 лет</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возраст'!$B$1:$D$1</c:f>
              <c:strCache>
                <c:ptCount val="3"/>
                <c:pt idx="0">
                  <c:v>2022 год</c:v>
                </c:pt>
                <c:pt idx="1">
                  <c:v>2023 год</c:v>
                </c:pt>
                <c:pt idx="2">
                  <c:v>2024 год</c:v>
                </c:pt>
              </c:strCache>
            </c:strRef>
          </c:cat>
          <c:val>
            <c:numRef>
              <c:f>'ЧЭ, возраст'!$B$4:$D$4</c:f>
              <c:numCache>
                <c:formatCode>General</c:formatCode>
                <c:ptCount val="3"/>
                <c:pt idx="0">
                  <c:v>26.28</c:v>
                </c:pt>
                <c:pt idx="1">
                  <c:v>23.25</c:v>
                </c:pt>
                <c:pt idx="2" formatCode="0.00">
                  <c:v>29.92</c:v>
                </c:pt>
              </c:numCache>
            </c:numRef>
          </c:val>
          <c:extLst>
            <c:ext xmlns:c16="http://schemas.microsoft.com/office/drawing/2014/chart" uri="{C3380CC4-5D6E-409C-BE32-E72D297353CC}">
              <c16:uniqueId val="{00000002-2F53-4503-A95B-A6C2F28FDD66}"/>
            </c:ext>
          </c:extLst>
        </c:ser>
        <c:dLbls>
          <c:showLegendKey val="0"/>
          <c:showVal val="0"/>
          <c:showCatName val="0"/>
          <c:showSerName val="0"/>
          <c:showPercent val="0"/>
          <c:showBubbleSize val="0"/>
        </c:dLbls>
        <c:gapWidth val="40"/>
        <c:overlap val="100"/>
        <c:axId val="171394560"/>
        <c:axId val="77122368"/>
      </c:barChart>
      <c:catAx>
        <c:axId val="171394560"/>
        <c:scaling>
          <c:orientation val="minMax"/>
        </c:scaling>
        <c:delete val="0"/>
        <c:axPos val="b"/>
        <c:numFmt formatCode="General" sourceLinked="1"/>
        <c:majorTickMark val="out"/>
        <c:minorTickMark val="none"/>
        <c:tickLblPos val="nextTo"/>
        <c:txPr>
          <a:bodyPr/>
          <a:lstStyle/>
          <a:p>
            <a:pPr>
              <a:defRPr>
                <a:latin typeface="Times New Roman"/>
                <a:cs typeface="Times New Roman"/>
              </a:defRPr>
            </a:pPr>
            <a:endParaRPr lang="ru-RU"/>
          </a:p>
        </c:txPr>
        <c:crossAx val="77122368"/>
        <c:crosses val="autoZero"/>
        <c:auto val="1"/>
        <c:lblAlgn val="ctr"/>
        <c:lblOffset val="100"/>
        <c:noMultiLvlLbl val="0"/>
      </c:catAx>
      <c:valAx>
        <c:axId val="77122368"/>
        <c:scaling>
          <c:orientation val="minMax"/>
        </c:scaling>
        <c:delete val="0"/>
        <c:axPos val="l"/>
        <c:numFmt formatCode="0%" sourceLinked="1"/>
        <c:majorTickMark val="out"/>
        <c:minorTickMark val="none"/>
        <c:tickLblPos val="nextTo"/>
        <c:txPr>
          <a:bodyPr/>
          <a:lstStyle/>
          <a:p>
            <a:pPr>
              <a:defRPr>
                <a:latin typeface="Times New Roman"/>
                <a:cs typeface="Times New Roman"/>
              </a:defRPr>
            </a:pPr>
            <a:endParaRPr lang="ru-RU"/>
          </a:p>
        </c:txPr>
        <c:crossAx val="171394560"/>
        <c:crosses val="autoZero"/>
        <c:crossBetween val="between"/>
      </c:valAx>
    </c:plotArea>
    <c:legend>
      <c:legendPos val="r"/>
      <c:layout>
        <c:manualLayout>
          <c:xMode val="edge"/>
          <c:yMode val="edge"/>
          <c:x val="0.76614700000000002"/>
          <c:y val="0.109264"/>
          <c:w val="0.201988"/>
          <c:h val="0.74232799999999999"/>
        </c:manualLayout>
      </c:layout>
      <c:overlay val="0"/>
      <c:txPr>
        <a:bodyPr/>
        <a:lstStyle/>
        <a:p>
          <a:pPr>
            <a:defRPr>
              <a:latin typeface="Times New Roman"/>
              <a:cs typeface="Times New Roman"/>
            </a:defRPr>
          </a:pPr>
          <a:endParaRPr lang="ru-RU"/>
        </a:p>
      </c:txPr>
    </c:legend>
    <c:plotVisOnly val="1"/>
    <c:dispBlanksAs val="gap"/>
    <c:showDLblsOverMax val="0"/>
  </c:chart>
  <c:spPr>
    <a:prstGeom prst="rect">
      <a:avLst/>
    </a:prstGeom>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810199999999999"/>
          <c:y val="5.0925999999999999E-2"/>
          <c:w val="0.61133199999999999"/>
          <c:h val="0.85624199999999995"/>
        </c:manualLayout>
      </c:layout>
      <c:barChart>
        <c:barDir val="bar"/>
        <c:grouping val="percentStacked"/>
        <c:varyColors val="0"/>
        <c:ser>
          <c:idx val="0"/>
          <c:order val="0"/>
          <c:tx>
            <c:strRef>
              <c:f>'ЧЭ, ГС по категориям'!$D$19</c:f>
              <c:strCache>
                <c:ptCount val="1"/>
                <c:pt idx="0">
                  <c:v>мужчины</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категориям'!$D$20:$D$22</c:f>
              <c:numCache>
                <c:formatCode>0.00%</c:formatCode>
                <c:ptCount val="3"/>
                <c:pt idx="0">
                  <c:v>0.93805309734513276</c:v>
                </c:pt>
                <c:pt idx="1">
                  <c:v>0.57429048414023376</c:v>
                </c:pt>
                <c:pt idx="2">
                  <c:v>0.81452145214521454</c:v>
                </c:pt>
              </c:numCache>
            </c:numRef>
          </c:val>
          <c:extLst>
            <c:ext xmlns:c16="http://schemas.microsoft.com/office/drawing/2014/chart" uri="{C3380CC4-5D6E-409C-BE32-E72D297353CC}">
              <c16:uniqueId val="{00000000-58D6-4000-958C-85972051EE04}"/>
            </c:ext>
          </c:extLst>
        </c:ser>
        <c:ser>
          <c:idx val="1"/>
          <c:order val="1"/>
          <c:tx>
            <c:strRef>
              <c:f>'ЧЭ, ГС по категориям'!$E$19</c:f>
              <c:strCache>
                <c:ptCount val="1"/>
                <c:pt idx="0">
                  <c:v>женщины</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категориям'!$E$20:$E$22</c:f>
              <c:numCache>
                <c:formatCode>0.00%</c:formatCode>
                <c:ptCount val="3"/>
                <c:pt idx="0">
                  <c:v>6.1946902654867256E-2</c:v>
                </c:pt>
                <c:pt idx="1">
                  <c:v>0.4257095158597663</c:v>
                </c:pt>
                <c:pt idx="2">
                  <c:v>0.18547854785478549</c:v>
                </c:pt>
              </c:numCache>
            </c:numRef>
          </c:val>
          <c:extLst>
            <c:ext xmlns:c16="http://schemas.microsoft.com/office/drawing/2014/chart" uri="{C3380CC4-5D6E-409C-BE32-E72D297353CC}">
              <c16:uniqueId val="{00000001-58D6-4000-958C-85972051EE04}"/>
            </c:ext>
          </c:extLst>
        </c:ser>
        <c:dLbls>
          <c:showLegendKey val="0"/>
          <c:showVal val="0"/>
          <c:showCatName val="0"/>
          <c:showSerName val="0"/>
          <c:showPercent val="0"/>
          <c:showBubbleSize val="0"/>
        </c:dLbls>
        <c:gapWidth val="50"/>
        <c:overlap val="100"/>
        <c:axId val="171129088"/>
        <c:axId val="171134976"/>
      </c:barChart>
      <c:catAx>
        <c:axId val="171129088"/>
        <c:scaling>
          <c:orientation val="minMax"/>
        </c:scaling>
        <c:delete val="0"/>
        <c:axPos val="l"/>
        <c:numFmt formatCode="General" sourceLinked="0"/>
        <c:majorTickMark val="out"/>
        <c:minorTickMark val="none"/>
        <c:tickLblPos val="nextTo"/>
        <c:txPr>
          <a:bodyPr/>
          <a:lstStyle/>
          <a:p>
            <a:pPr>
              <a:defRPr sz="800">
                <a:latin typeface="Times New Roman"/>
                <a:cs typeface="Times New Roman"/>
              </a:defRPr>
            </a:pPr>
            <a:endParaRPr lang="ru-RU"/>
          </a:p>
        </c:txPr>
        <c:crossAx val="171134976"/>
        <c:crosses val="autoZero"/>
        <c:auto val="1"/>
        <c:lblAlgn val="ctr"/>
        <c:lblOffset val="100"/>
        <c:noMultiLvlLbl val="0"/>
      </c:catAx>
      <c:valAx>
        <c:axId val="171134976"/>
        <c:scaling>
          <c:orientation val="minMax"/>
        </c:scaling>
        <c:delete val="0"/>
        <c:axPos val="b"/>
        <c:numFmt formatCode="0%" sourceLinked="1"/>
        <c:majorTickMark val="out"/>
        <c:minorTickMark val="none"/>
        <c:tickLblPos val="nextTo"/>
        <c:txPr>
          <a:bodyPr/>
          <a:lstStyle/>
          <a:p>
            <a:pPr>
              <a:defRPr sz="800">
                <a:latin typeface="Times New Roman"/>
                <a:cs typeface="Times New Roman"/>
              </a:defRPr>
            </a:pPr>
            <a:endParaRPr lang="ru-RU"/>
          </a:p>
        </c:txPr>
        <c:crossAx val="171129088"/>
        <c:crosses val="autoZero"/>
        <c:crossBetween val="between"/>
      </c:valAx>
    </c:plotArea>
    <c:legend>
      <c:legendPos val="r"/>
      <c:overlay val="0"/>
      <c:txPr>
        <a:bodyPr/>
        <a:lstStyle/>
        <a:p>
          <a:pPr>
            <a:defRPr sz="800">
              <a:latin typeface="Times New Roman"/>
              <a:cs typeface="Times New Roman"/>
            </a:defRPr>
          </a:pPr>
          <a:endParaRPr lang="ru-RU"/>
        </a:p>
      </c:txPr>
    </c:legend>
    <c:plotVisOnly val="1"/>
    <c:dispBlanksAs val="gap"/>
    <c:showDLblsOverMax val="0"/>
  </c:chart>
  <c:spPr>
    <a:prstGeom prst="rect">
      <a:avLst/>
    </a:prstGeom>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96999999999994E-2"/>
          <c:y val="6.4611000000000002E-2"/>
          <c:w val="0.58596199999999998"/>
          <c:h val="0.86508099999999999"/>
        </c:manualLayout>
      </c:layout>
      <c:barChart>
        <c:barDir val="col"/>
        <c:grouping val="percentStacked"/>
        <c:varyColors val="0"/>
        <c:ser>
          <c:idx val="0"/>
          <c:order val="0"/>
          <c:tx>
            <c:strRef>
              <c:f>'ЧЭ, образование'!$A$9</c:f>
              <c:strCache>
                <c:ptCount val="1"/>
                <c:pt idx="0">
                  <c:v>Основное/среднее общее</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образование'!$B$8:$D$8</c:f>
              <c:strCache>
                <c:ptCount val="3"/>
                <c:pt idx="0">
                  <c:v>2022 год</c:v>
                </c:pt>
                <c:pt idx="1">
                  <c:v>2023 год</c:v>
                </c:pt>
                <c:pt idx="2">
                  <c:v>2024 год</c:v>
                </c:pt>
              </c:strCache>
            </c:strRef>
          </c:cat>
          <c:val>
            <c:numRef>
              <c:f>'ЧЭ, образование'!$B$9:$D$9</c:f>
              <c:numCache>
                <c:formatCode>0.00%</c:formatCode>
                <c:ptCount val="3"/>
                <c:pt idx="0">
                  <c:v>0.45750000000000002</c:v>
                </c:pt>
                <c:pt idx="1">
                  <c:v>0.43933224755700323</c:v>
                </c:pt>
                <c:pt idx="2">
                  <c:v>0.43130860171218915</c:v>
                </c:pt>
              </c:numCache>
            </c:numRef>
          </c:val>
          <c:extLst>
            <c:ext xmlns:c16="http://schemas.microsoft.com/office/drawing/2014/chart" uri="{C3380CC4-5D6E-409C-BE32-E72D297353CC}">
              <c16:uniqueId val="{00000000-5E44-4164-A461-A05C12F78F3E}"/>
            </c:ext>
          </c:extLst>
        </c:ser>
        <c:ser>
          <c:idx val="1"/>
          <c:order val="1"/>
          <c:tx>
            <c:strRef>
              <c:f>'ЧЭ, образование'!$A$10</c:f>
              <c:strCache>
                <c:ptCount val="1"/>
                <c:pt idx="0">
                  <c:v>Начальное/среднее профессиональное</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образование'!$B$8:$D$8</c:f>
              <c:strCache>
                <c:ptCount val="3"/>
                <c:pt idx="0">
                  <c:v>2022 год</c:v>
                </c:pt>
                <c:pt idx="1">
                  <c:v>2023 год</c:v>
                </c:pt>
                <c:pt idx="2">
                  <c:v>2024 год</c:v>
                </c:pt>
              </c:strCache>
            </c:strRef>
          </c:cat>
          <c:val>
            <c:numRef>
              <c:f>'ЧЭ, образование'!$B$10:$D$10</c:f>
              <c:numCache>
                <c:formatCode>0.00%</c:formatCode>
                <c:ptCount val="3"/>
                <c:pt idx="0">
                  <c:v>0.1971</c:v>
                </c:pt>
                <c:pt idx="1">
                  <c:v>0.21091205211726385</c:v>
                </c:pt>
                <c:pt idx="2">
                  <c:v>0.21402364451691805</c:v>
                </c:pt>
              </c:numCache>
            </c:numRef>
          </c:val>
          <c:extLst>
            <c:ext xmlns:c16="http://schemas.microsoft.com/office/drawing/2014/chart" uri="{C3380CC4-5D6E-409C-BE32-E72D297353CC}">
              <c16:uniqueId val="{00000001-5E44-4164-A461-A05C12F78F3E}"/>
            </c:ext>
          </c:extLst>
        </c:ser>
        <c:ser>
          <c:idx val="2"/>
          <c:order val="2"/>
          <c:tx>
            <c:strRef>
              <c:f>'ЧЭ, образование'!$A$11</c:f>
              <c:strCache>
                <c:ptCount val="1"/>
                <c:pt idx="0">
                  <c:v>Высшее профессиональное</c:v>
                </c:pt>
              </c:strCache>
            </c:strRef>
          </c:tx>
          <c:invertIfNegative val="0"/>
          <c:dLbls>
            <c:spPr>
              <a:noFill/>
              <a:ln>
                <a:noFill/>
              </a:ln>
              <a:effectLst/>
            </c:spPr>
            <c:txPr>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'ЧЭ, образование'!$B$8:$D$8</c:f>
              <c:strCache>
                <c:ptCount val="3"/>
                <c:pt idx="0">
                  <c:v>2022 год</c:v>
                </c:pt>
                <c:pt idx="1">
                  <c:v>2023 год</c:v>
                </c:pt>
                <c:pt idx="2">
                  <c:v>2024 год</c:v>
                </c:pt>
              </c:strCache>
            </c:strRef>
          </c:cat>
          <c:val>
            <c:numRef>
              <c:f>'ЧЭ, образование'!$B$11:$D$11</c:f>
              <c:numCache>
                <c:formatCode>0.00%</c:formatCode>
                <c:ptCount val="3"/>
                <c:pt idx="0">
                  <c:v>0.34539999999999998</c:v>
                </c:pt>
                <c:pt idx="1">
                  <c:v>0.34975570032573289</c:v>
                </c:pt>
                <c:pt idx="2">
                  <c:v>0.35466775377089277</c:v>
                </c:pt>
              </c:numCache>
            </c:numRef>
          </c:val>
          <c:extLst>
            <c:ext xmlns:c16="http://schemas.microsoft.com/office/drawing/2014/chart" uri="{C3380CC4-5D6E-409C-BE32-E72D297353CC}">
              <c16:uniqueId val="{00000002-5E44-4164-A461-A05C12F78F3E}"/>
            </c:ext>
          </c:extLst>
        </c:ser>
        <c:dLbls>
          <c:showLegendKey val="0"/>
          <c:showVal val="0"/>
          <c:showCatName val="0"/>
          <c:showSerName val="0"/>
          <c:showPercent val="0"/>
          <c:showBubbleSize val="0"/>
        </c:dLbls>
        <c:gapWidth val="30"/>
        <c:overlap val="100"/>
        <c:axId val="130754432"/>
        <c:axId val="130755968"/>
      </c:barChart>
      <c:catAx>
        <c:axId val="130754432"/>
        <c:scaling>
          <c:orientation val="minMax"/>
        </c:scaling>
        <c:delete val="0"/>
        <c:axPos val="b"/>
        <c:numFmt formatCode="General" sourceLinked="1"/>
        <c:majorTickMark val="out"/>
        <c:minorTickMark val="none"/>
        <c:tickLblPos val="nextTo"/>
        <c:txPr>
          <a:bodyPr/>
          <a:lstStyle/>
          <a:p>
            <a:pPr>
              <a:defRPr>
                <a:latin typeface="Times New Roman"/>
                <a:cs typeface="Times New Roman"/>
              </a:defRPr>
            </a:pPr>
            <a:endParaRPr lang="ru-RU"/>
          </a:p>
        </c:txPr>
        <c:crossAx val="130755968"/>
        <c:crosses val="autoZero"/>
        <c:auto val="1"/>
        <c:lblAlgn val="ctr"/>
        <c:lblOffset val="100"/>
        <c:noMultiLvlLbl val="0"/>
      </c:catAx>
      <c:valAx>
        <c:axId val="130755968"/>
        <c:scaling>
          <c:orientation val="minMax"/>
        </c:scaling>
        <c:delete val="0"/>
        <c:axPos val="l"/>
        <c:numFmt formatCode="0%" sourceLinked="1"/>
        <c:majorTickMark val="out"/>
        <c:minorTickMark val="none"/>
        <c:tickLblPos val="nextTo"/>
        <c:txPr>
          <a:bodyPr/>
          <a:lstStyle/>
          <a:p>
            <a:pPr>
              <a:defRPr>
                <a:latin typeface="Times New Roman"/>
                <a:cs typeface="Times New Roman"/>
              </a:defRPr>
            </a:pPr>
            <a:endParaRPr lang="ru-RU"/>
          </a:p>
        </c:txPr>
        <c:crossAx val="130754432"/>
        <c:crosses val="autoZero"/>
        <c:crossBetween val="between"/>
      </c:valAx>
    </c:plotArea>
    <c:legend>
      <c:legendPos val="r"/>
      <c:layout>
        <c:manualLayout>
          <c:xMode val="edge"/>
          <c:yMode val="edge"/>
          <c:x val="0.70956799999999998"/>
          <c:y val="4.4315E-2"/>
          <c:w val="0.29043200000000002"/>
          <c:h val="0.91603999999999997"/>
        </c:manualLayout>
      </c:layout>
      <c:overlay val="0"/>
      <c:txPr>
        <a:bodyPr/>
        <a:lstStyle/>
        <a:p>
          <a:pPr>
            <a:defRPr>
              <a:latin typeface="Times New Roman"/>
              <a:cs typeface="Times New Roman"/>
            </a:defRPr>
          </a:pPr>
          <a:endParaRPr lang="ru-RU"/>
        </a:p>
      </c:txPr>
    </c:legend>
    <c:plotVisOnly val="1"/>
    <c:dispBlanksAs val="gap"/>
    <c:showDLblsOverMax val="0"/>
  </c:chart>
  <c:spPr>
    <a:prstGeom prst="rect">
      <a:avLst/>
    </a:prstGeom>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896000000000005E-2"/>
          <c:y val="0.23036699999999999"/>
          <c:w val="0.75787800000000005"/>
          <c:h val="0.64685099999999995"/>
        </c:manualLayout>
      </c:layout>
      <c:barChart>
        <c:barDir val="col"/>
        <c:grouping val="stacked"/>
        <c:varyColors val="0"/>
        <c:ser>
          <c:idx val="0"/>
          <c:order val="0"/>
          <c:tx>
            <c:strRef>
              <c:f>Лист1!$B$1</c:f>
              <c:strCache>
                <c:ptCount val="1"/>
                <c:pt idx="0">
                  <c:v>НВВ собст.</c:v>
                </c:pt>
              </c:strCache>
            </c:strRef>
          </c:tx>
          <c:spPr>
            <a:prstGeom prst="rect">
              <a:avLst/>
            </a:prstGeom>
            <a:solidFill>
              <a:schemeClr val="tx2"/>
            </a:solidFill>
          </c:spPr>
          <c:invertIfNegative val="0"/>
          <c:dLbls>
            <c:numFmt formatCode="#,##0" sourceLinked="0"/>
            <c:spPr>
              <a:noFill/>
              <a:ln w="25274">
                <a:noFill/>
              </a:ln>
            </c:spPr>
            <c:txPr>
              <a:bodyPr/>
              <a:lstStyle/>
              <a:p>
                <a:pPr>
                  <a:defRPr sz="900">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Лист1!$A$2:$A$4</c:f>
              <c:numCache>
                <c:formatCode>General</c:formatCode>
                <c:ptCount val="3"/>
                <c:pt idx="0">
                  <c:v>2022</c:v>
                </c:pt>
                <c:pt idx="1">
                  <c:v>2023</c:v>
                </c:pt>
                <c:pt idx="2">
                  <c:v>2024</c:v>
                </c:pt>
              </c:numCache>
            </c:numRef>
          </c:cat>
          <c:val>
            <c:numRef>
              <c:f>Лист1!$B$2:$B$4</c:f>
              <c:numCache>
                <c:formatCode>#,##0</c:formatCode>
                <c:ptCount val="3"/>
                <c:pt idx="0">
                  <c:v>2350.6386400000001</c:v>
                </c:pt>
                <c:pt idx="1">
                  <c:v>3250.1058499999995</c:v>
                </c:pt>
                <c:pt idx="2">
                  <c:v>3783</c:v>
                </c:pt>
              </c:numCache>
            </c:numRef>
          </c:val>
          <c:extLst>
            <c:ext xmlns:c16="http://schemas.microsoft.com/office/drawing/2014/chart" uri="{C3380CC4-5D6E-409C-BE32-E72D297353CC}">
              <c16:uniqueId val="{00000000-A84B-4F57-BBA5-7611FC862614}"/>
            </c:ext>
          </c:extLst>
        </c:ser>
        <c:ser>
          <c:idx val="1"/>
          <c:order val="1"/>
          <c:tx>
            <c:strRef>
              <c:f>Лист1!$C$1</c:f>
              <c:strCache>
                <c:ptCount val="1"/>
                <c:pt idx="0">
                  <c:v>ЕНЭС</c:v>
                </c:pt>
              </c:strCache>
            </c:strRef>
          </c:tx>
          <c:spPr>
            <a:prstGeom prst="rect">
              <a:avLst/>
            </a:prstGeom>
            <a:solidFill>
              <a:schemeClr val="tx2">
                <a:lumMod val="60000"/>
                <a:lumOff val="40000"/>
              </a:schemeClr>
            </a:solidFill>
          </c:spPr>
          <c:invertIfNegative val="0"/>
          <c:dLbls>
            <c:numFmt formatCode="#,##0" sourceLinked="0"/>
            <c:spPr>
              <a:noFill/>
              <a:ln w="25274">
                <a:noFill/>
              </a:ln>
            </c:spPr>
            <c:txPr>
              <a:bodyPr/>
              <a:lstStyle/>
              <a:p>
                <a:pPr>
                  <a:defRPr sz="9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Лист1!$A$2:$A$4</c:f>
              <c:numCache>
                <c:formatCode>General</c:formatCode>
                <c:ptCount val="3"/>
                <c:pt idx="0">
                  <c:v>2022</c:v>
                </c:pt>
                <c:pt idx="1">
                  <c:v>2023</c:v>
                </c:pt>
                <c:pt idx="2">
                  <c:v>2024</c:v>
                </c:pt>
              </c:numCache>
            </c:numRef>
          </c:cat>
          <c:val>
            <c:numRef>
              <c:f>Лист1!$C$2:$C$4</c:f>
              <c:numCache>
                <c:formatCode>#,##0</c:formatCode>
                <c:ptCount val="3"/>
                <c:pt idx="0">
                  <c:v>322.12219999999996</c:v>
                </c:pt>
                <c:pt idx="1">
                  <c:v>318.62179000000003</c:v>
                </c:pt>
                <c:pt idx="2">
                  <c:v>343</c:v>
                </c:pt>
              </c:numCache>
            </c:numRef>
          </c:val>
          <c:extLst>
            <c:ext xmlns:c16="http://schemas.microsoft.com/office/drawing/2014/chart" uri="{C3380CC4-5D6E-409C-BE32-E72D297353CC}">
              <c16:uniqueId val="{00000001-A84B-4F57-BBA5-7611FC862614}"/>
            </c:ext>
          </c:extLst>
        </c:ser>
        <c:ser>
          <c:idx val="2"/>
          <c:order val="2"/>
          <c:tx>
            <c:strRef>
              <c:f>Лист1!$D$1</c:f>
              <c:strCache>
                <c:ptCount val="1"/>
                <c:pt idx="0">
                  <c:v>Потери</c:v>
                </c:pt>
              </c:strCache>
            </c:strRef>
          </c:tx>
          <c:spPr>
            <a:prstGeom prst="rect">
              <a:avLst/>
            </a:prstGeom>
            <a:solidFill>
              <a:schemeClr val="accent1">
                <a:lumMod val="60000"/>
                <a:lumOff val="40000"/>
              </a:schemeClr>
            </a:solidFill>
          </c:spPr>
          <c:invertIfNegative val="0"/>
          <c:dLbls>
            <c:numFmt formatCode="#,##0" sourceLinked="0"/>
            <c:spPr>
              <a:noFill/>
              <a:ln w="25274">
                <a:noFill/>
              </a:ln>
            </c:spPr>
            <c:txPr>
              <a:bodyPr/>
              <a:lstStyle/>
              <a:p>
                <a:pPr>
                  <a:defRPr sz="9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Лист1!$A$2:$A$4</c:f>
              <c:numCache>
                <c:formatCode>General</c:formatCode>
                <c:ptCount val="3"/>
                <c:pt idx="0">
                  <c:v>2022</c:v>
                </c:pt>
                <c:pt idx="1">
                  <c:v>2023</c:v>
                </c:pt>
                <c:pt idx="2">
                  <c:v>2024</c:v>
                </c:pt>
              </c:numCache>
            </c:numRef>
          </c:cat>
          <c:val>
            <c:numRef>
              <c:f>Лист1!$D$2:$D$4</c:f>
              <c:numCache>
                <c:formatCode>#,##0</c:formatCode>
                <c:ptCount val="3"/>
                <c:pt idx="0">
                  <c:v>1009.1243900000001</c:v>
                </c:pt>
                <c:pt idx="1">
                  <c:v>1355.5486599999999</c:v>
                </c:pt>
                <c:pt idx="2">
                  <c:v>1575</c:v>
                </c:pt>
              </c:numCache>
            </c:numRef>
          </c:val>
          <c:extLst>
            <c:ext xmlns:c16="http://schemas.microsoft.com/office/drawing/2014/chart" uri="{C3380CC4-5D6E-409C-BE32-E72D297353CC}">
              <c16:uniqueId val="{00000002-A84B-4F57-BBA5-7611FC862614}"/>
            </c:ext>
          </c:extLst>
        </c:ser>
        <c:ser>
          <c:idx val="3"/>
          <c:order val="3"/>
          <c:tx>
            <c:strRef>
              <c:f>Лист1!$E$1</c:f>
              <c:strCache>
                <c:ptCount val="1"/>
                <c:pt idx="0">
                  <c:v>ТСО</c:v>
                </c:pt>
              </c:strCache>
            </c:strRef>
          </c:tx>
          <c:spPr>
            <a:prstGeom prst="rect">
              <a:avLst/>
            </a:prstGeom>
            <a:solidFill>
              <a:schemeClr val="accent1">
                <a:lumMod val="20000"/>
                <a:lumOff val="80000"/>
              </a:schemeClr>
            </a:solidFill>
          </c:spPr>
          <c:invertIfNegative val="0"/>
          <c:cat>
            <c:numRef>
              <c:f>Лист1!$A$2:$A$4</c:f>
              <c:numCache>
                <c:formatCode>General</c:formatCode>
                <c:ptCount val="3"/>
                <c:pt idx="0">
                  <c:v>2022</c:v>
                </c:pt>
                <c:pt idx="1">
                  <c:v>2023</c:v>
                </c:pt>
                <c:pt idx="2">
                  <c:v>2024</c:v>
                </c:pt>
              </c:numCache>
            </c:numRef>
          </c:cat>
          <c:val>
            <c:numRef>
              <c:f>Лист1!$E$2:$E$4</c:f>
              <c:numCache>
                <c:formatCode>General</c:formatCode>
                <c:ptCount val="3"/>
              </c:numCache>
            </c:numRef>
          </c:val>
          <c:extLst>
            <c:ext xmlns:c16="http://schemas.microsoft.com/office/drawing/2014/chart" uri="{C3380CC4-5D6E-409C-BE32-E72D297353CC}">
              <c16:uniqueId val="{00000003-A84B-4F57-BBA5-7611FC862614}"/>
            </c:ext>
          </c:extLst>
        </c:ser>
        <c:dLbls>
          <c:showLegendKey val="0"/>
          <c:showVal val="0"/>
          <c:showCatName val="0"/>
          <c:showSerName val="0"/>
          <c:showPercent val="0"/>
          <c:showBubbleSize val="0"/>
        </c:dLbls>
        <c:gapWidth val="86"/>
        <c:overlap val="100"/>
        <c:serLines/>
        <c:axId val="100732928"/>
        <c:axId val="100734464"/>
      </c:barChart>
      <c:catAx>
        <c:axId val="100732928"/>
        <c:scaling>
          <c:orientation val="minMax"/>
        </c:scaling>
        <c:delete val="0"/>
        <c:axPos val="b"/>
        <c:numFmt formatCode="General" sourceLinked="1"/>
        <c:majorTickMark val="out"/>
        <c:minorTickMark val="none"/>
        <c:tickLblPos val="nextTo"/>
        <c:txPr>
          <a:bodyPr/>
          <a:lstStyle/>
          <a:p>
            <a:pPr>
              <a:defRPr sz="1050" b="1" i="0">
                <a:solidFill>
                  <a:schemeClr val="tx1"/>
                </a:solidFill>
                <a:latin typeface="Times New Roman"/>
                <a:cs typeface="Times New Roman"/>
              </a:defRPr>
            </a:pPr>
            <a:endParaRPr lang="ru-RU"/>
          </a:p>
        </c:txPr>
        <c:crossAx val="100734464"/>
        <c:crosses val="autoZero"/>
        <c:auto val="1"/>
        <c:lblAlgn val="ctr"/>
        <c:lblOffset val="100"/>
        <c:noMultiLvlLbl val="0"/>
      </c:catAx>
      <c:valAx>
        <c:axId val="100734464"/>
        <c:scaling>
          <c:orientation val="minMax"/>
        </c:scaling>
        <c:delete val="1"/>
        <c:axPos val="l"/>
        <c:majorGridlines/>
        <c:title>
          <c:tx>
            <c:rich>
              <a:bodyPr/>
              <a:lstStyle/>
              <a:p>
                <a:pPr>
                  <a:defRPr sz="1000" b="1" i="0" u="none" strike="noStrike">
                    <a:solidFill>
                      <a:srgbClr val="000000"/>
                    </a:solidFill>
                    <a:latin typeface="Calibri"/>
                    <a:ea typeface="Calibri"/>
                    <a:cs typeface="Calibri"/>
                  </a:defRPr>
                </a:pPr>
                <a:r>
                  <a:rPr lang="ru-RU"/>
                  <a:t>млн руб.</a:t>
                </a:r>
              </a:p>
            </c:rich>
          </c:tx>
          <c:layout>
            <c:manualLayout>
              <c:xMode val="edge"/>
              <c:yMode val="edge"/>
              <c:x val="1.3889E-2"/>
              <c:y val="0.48500700000000002"/>
            </c:manualLayout>
          </c:layout>
          <c:overlay val="0"/>
        </c:title>
        <c:numFmt formatCode="#,##0" sourceLinked="1"/>
        <c:majorTickMark val="out"/>
        <c:minorTickMark val="none"/>
        <c:tickLblPos val="nextTo"/>
        <c:crossAx val="100732928"/>
        <c:crosses val="autoZero"/>
        <c:crossBetween val="between"/>
      </c:valAx>
    </c:plotArea>
    <c:legend>
      <c:legendPos val="r"/>
      <c:overlay val="0"/>
      <c:txPr>
        <a:bodyPr/>
        <a:lstStyle/>
        <a:p>
          <a:pPr>
            <a:defRPr>
              <a:latin typeface="Times New Roman"/>
              <a:cs typeface="Times New Roman"/>
            </a:defRPr>
          </a:pPr>
          <a:endParaRPr lang="ru-RU"/>
        </a:p>
      </c:txPr>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Лист1!$B$1</c:f>
              <c:strCache>
                <c:ptCount val="1"/>
                <c:pt idx="0">
                  <c:v>Продажи</c:v>
                </c:pt>
              </c:strCache>
            </c:strRef>
          </c:tx>
          <c:dPt>
            <c:idx val="0"/>
            <c:bubble3D val="0"/>
            <c:spPr>
              <a:prstGeom prst="rect">
                <a:avLst/>
              </a:prstGeom>
              <a:solidFill>
                <a:schemeClr val="accent5">
                  <a:tint val="50000"/>
                </a:schemeClr>
              </a:solidFill>
              <a:ln>
                <a:noFill/>
              </a:ln>
              <a:effectLst/>
            </c:spPr>
            <c:extLst>
              <c:ext xmlns:c16="http://schemas.microsoft.com/office/drawing/2014/chart" uri="{C3380CC4-5D6E-409C-BE32-E72D297353CC}">
                <c16:uniqueId val="{00000001-D46D-4ACE-BA74-09352DCB2FD1}"/>
              </c:ext>
            </c:extLst>
          </c:dPt>
          <c:dPt>
            <c:idx val="1"/>
            <c:bubble3D val="0"/>
            <c:spPr>
              <a:prstGeom prst="rect">
                <a:avLst/>
              </a:prstGeom>
              <a:solidFill>
                <a:schemeClr val="accent5">
                  <a:tint val="70000"/>
                </a:schemeClr>
              </a:solidFill>
              <a:ln>
                <a:noFill/>
              </a:ln>
              <a:effectLst/>
            </c:spPr>
            <c:extLst>
              <c:ext xmlns:c16="http://schemas.microsoft.com/office/drawing/2014/chart" uri="{C3380CC4-5D6E-409C-BE32-E72D297353CC}">
                <c16:uniqueId val="{00000003-D46D-4ACE-BA74-09352DCB2FD1}"/>
              </c:ext>
            </c:extLst>
          </c:dPt>
          <c:dPt>
            <c:idx val="2"/>
            <c:bubble3D val="0"/>
            <c:spPr>
              <a:prstGeom prst="rect">
                <a:avLst/>
              </a:prstGeom>
              <a:solidFill>
                <a:schemeClr val="accent5">
                  <a:tint val="90000"/>
                </a:schemeClr>
              </a:solidFill>
              <a:ln>
                <a:noFill/>
              </a:ln>
              <a:effectLst/>
            </c:spPr>
            <c:extLst>
              <c:ext xmlns:c16="http://schemas.microsoft.com/office/drawing/2014/chart" uri="{C3380CC4-5D6E-409C-BE32-E72D297353CC}">
                <c16:uniqueId val="{00000005-D46D-4ACE-BA74-09352DCB2FD1}"/>
              </c:ext>
            </c:extLst>
          </c:dPt>
          <c:dPt>
            <c:idx val="3"/>
            <c:bubble3D val="0"/>
            <c:spPr>
              <a:prstGeom prst="rect">
                <a:avLst/>
              </a:prstGeom>
              <a:solidFill>
                <a:schemeClr val="accent5">
                  <a:shade val="90000"/>
                </a:schemeClr>
              </a:solidFill>
              <a:ln>
                <a:noFill/>
              </a:ln>
              <a:effectLst/>
            </c:spPr>
            <c:extLst>
              <c:ext xmlns:c16="http://schemas.microsoft.com/office/drawing/2014/chart" uri="{C3380CC4-5D6E-409C-BE32-E72D297353CC}">
                <c16:uniqueId val="{00000007-D46D-4ACE-BA74-09352DCB2FD1}"/>
              </c:ext>
            </c:extLst>
          </c:dPt>
          <c:dPt>
            <c:idx val="4"/>
            <c:bubble3D val="0"/>
            <c:spPr>
              <a:prstGeom prst="rect">
                <a:avLst/>
              </a:prstGeom>
              <a:solidFill>
                <a:schemeClr val="accent5">
                  <a:shade val="70000"/>
                </a:schemeClr>
              </a:solidFill>
              <a:ln>
                <a:noFill/>
              </a:ln>
              <a:effectLst/>
            </c:spPr>
            <c:extLst>
              <c:ext xmlns:c16="http://schemas.microsoft.com/office/drawing/2014/chart" uri="{C3380CC4-5D6E-409C-BE32-E72D297353CC}">
                <c16:uniqueId val="{00000009-D46D-4ACE-BA74-09352DCB2FD1}"/>
              </c:ext>
            </c:extLst>
          </c:dPt>
          <c:dPt>
            <c:idx val="5"/>
            <c:bubble3D val="0"/>
            <c:spPr>
              <a:prstGeom prst="rect">
                <a:avLst/>
              </a:prstGeom>
              <a:solidFill>
                <a:schemeClr val="accent5">
                  <a:shade val="50000"/>
                </a:schemeClr>
              </a:solidFill>
              <a:ln>
                <a:noFill/>
              </a:ln>
              <a:effectLst/>
            </c:spPr>
            <c:extLst>
              <c:ext xmlns:c16="http://schemas.microsoft.com/office/drawing/2014/chart" uri="{C3380CC4-5D6E-409C-BE32-E72D297353CC}">
                <c16:uniqueId val="{0000000B-D46D-4ACE-BA74-09352DCB2FD1}"/>
              </c:ext>
            </c:extLst>
          </c:dPt>
          <c:dLbls>
            <c:dLbl>
              <c:idx val="0"/>
              <c:layout>
                <c:manualLayout>
                  <c:x val="6.0543E-2"/>
                  <c:y val="-0.12326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6D-4ACE-BA74-09352DCB2FD1}"/>
                </c:ext>
              </c:extLst>
            </c:dLbl>
            <c:dLbl>
              <c:idx val="1"/>
              <c:layout>
                <c:manualLayout>
                  <c:x val="9.3550000000000005E-3"/>
                  <c:y val="-1.0366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46D-4ACE-BA74-09352DCB2FD1}"/>
                </c:ext>
              </c:extLst>
            </c:dLbl>
            <c:dLbl>
              <c:idx val="2"/>
              <c:delete val="1"/>
              <c:extLst>
                <c:ext xmlns:c15="http://schemas.microsoft.com/office/drawing/2012/chart" uri="{CE6537A1-D6FC-4f65-9D91-7224C49458BB}"/>
                <c:ext xmlns:c16="http://schemas.microsoft.com/office/drawing/2014/chart" uri="{C3380CC4-5D6E-409C-BE32-E72D297353CC}">
                  <c16:uniqueId val="{00000005-D46D-4ACE-BA74-09352DCB2FD1}"/>
                </c:ext>
              </c:extLst>
            </c:dLbl>
            <c:dLbl>
              <c:idx val="3"/>
              <c:layout>
                <c:manualLayout>
                  <c:x val="-6.5171999999999994E-2"/>
                  <c:y val="-0.1742799999999999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46D-4ACE-BA74-09352DCB2FD1}"/>
                </c:ext>
              </c:extLst>
            </c:dLbl>
            <c:dLbl>
              <c:idx val="4"/>
              <c:layout>
                <c:manualLayout>
                  <c:x val="1.6299999999999999E-2"/>
                  <c:y val="0.184900000000000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46D-4ACE-BA74-09352DCB2FD1}"/>
                </c:ext>
              </c:extLst>
            </c:dLbl>
            <c:dLbl>
              <c:idx val="5"/>
              <c:layout>
                <c:manualLayout>
                  <c:x val="0.12570600000000001"/>
                  <c:y val="-0.154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46D-4ACE-BA74-09352DCB2FD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prstGeom prst="rect">
                  <a:avLst/>
                </a:prstGeom>
                <a:ln w="6350" cap="flat" cmpd="sng" algn="ctr">
                  <a:solidFill>
                    <a:schemeClr val="tx1"/>
                  </a:solidFill>
                  <a:prstDash val="solid"/>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0.0%</c:formatCode>
                <c:ptCount val="6"/>
                <c:pt idx="0">
                  <c:v>0.77472593736495243</c:v>
                </c:pt>
                <c:pt idx="1">
                  <c:v>0.19315203447778986</c:v>
                </c:pt>
                <c:pt idx="2">
                  <c:v>0</c:v>
                </c:pt>
                <c:pt idx="3">
                  <c:v>1.5511234882336248E-2</c:v>
                </c:pt>
                <c:pt idx="4">
                  <c:v>0</c:v>
                </c:pt>
                <c:pt idx="5">
                  <c:v>1.6610793274921352E-2</c:v>
                </c:pt>
              </c:numCache>
            </c:numRef>
          </c:val>
          <c:extLst>
            <c:ext xmlns:c16="http://schemas.microsoft.com/office/drawing/2014/chart" uri="{C3380CC4-5D6E-409C-BE32-E72D297353CC}">
              <c16:uniqueId val="{0000000C-D46D-4ACE-BA74-09352DCB2FD1}"/>
            </c:ext>
          </c:extLst>
        </c:ser>
        <c:dLbls>
          <c:showLegendKey val="0"/>
          <c:showVal val="0"/>
          <c:showCatName val="0"/>
          <c:showSerName val="0"/>
          <c:showPercent val="0"/>
          <c:showBubbleSize val="0"/>
          <c:showLeaderLines val="1"/>
        </c:dLbls>
        <c:firstSliceAng val="0"/>
        <c:holeSize val="50"/>
      </c:doughnutChart>
      <c:spPr>
        <a:prstGeom prst="rect">
          <a:avLst/>
        </a:prstGeom>
        <a:noFill/>
        <a:ln>
          <a:noFill/>
        </a:ln>
        <a:effectLst/>
      </c:spPr>
    </c:plotArea>
    <c:legend>
      <c:legendPos val="r"/>
      <c:overlay val="0"/>
      <c:spPr>
        <a:prstGeom prst="rect">
          <a:avLst/>
        </a:prstGeom>
        <a:noFill/>
        <a:ln>
          <a:noFill/>
        </a:ln>
        <a:effectLst/>
      </c:spPr>
      <c:txPr>
        <a:bodyPr rot="0" spcFirstLastPara="1" vertOverflow="ellipsis" vert="horz" wrap="square" anchor="ctr" anchorCtr="1"/>
        <a:lstStyle/>
        <a:p>
          <a:pPr>
            <a:defRPr sz="1000" b="0" i="0" u="none" strike="noStrike">
              <a:solidFill>
                <a:schemeClr val="tx1"/>
              </a:solidFill>
              <a:latin typeface="+mn-lt"/>
              <a:ea typeface="+mn-ea"/>
              <a:cs typeface="+mn-cs"/>
            </a:defRPr>
          </a:pPr>
          <a:endParaRPr lang="ru-RU"/>
        </a:p>
      </c:txPr>
    </c:legend>
    <c:plotVisOnly val="1"/>
    <c:dispBlanksAs val="gap"/>
    <c:showDLblsOverMax val="0"/>
  </c:chart>
  <c:spPr>
    <a:prstGeom prst="rect">
      <a:avLst/>
    </a:prstGeom>
    <a:solidFill>
      <a:schemeClr val="bg1"/>
    </a:solidFill>
    <a:ln w="6350" cap="flat" cmpd="sng" algn="ctr">
      <a:noFill/>
      <a:prstDash val="solid"/>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992099999999999"/>
          <c:y val="8.5176000000000002E-2"/>
          <c:w val="0.79460600000000003"/>
          <c:h val="0.80875900000000001"/>
        </c:manualLayout>
      </c:layout>
      <c:barChart>
        <c:barDir val="col"/>
        <c:grouping val="stacked"/>
        <c:varyColors val="0"/>
        <c:ser>
          <c:idx val="0"/>
          <c:order val="0"/>
          <c:tx>
            <c:strRef>
              <c:f>Лист1!$B$1</c:f>
              <c:strCache>
                <c:ptCount val="1"/>
                <c:pt idx="0">
                  <c:v>займы</c:v>
                </c:pt>
              </c:strCache>
            </c:strRef>
          </c:tx>
          <c:spPr>
            <a:prstGeom prst="rect">
              <a:avLst/>
            </a:prstGeom>
            <a:solidFill>
              <a:schemeClr val="accent5">
                <a:tint val="54000"/>
              </a:schemeClr>
            </a:solidFill>
            <a:ln>
              <a:noFill/>
            </a:ln>
            <a:effectLst/>
          </c:spPr>
          <c:invertIfNegative val="0"/>
          <c:dLbls>
            <c:dLbl>
              <c:idx val="0"/>
              <c:layout>
                <c:manualLayout>
                  <c:x val="0.21387999999999999"/>
                  <c:y val="1.9563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9F0-46DA-83F8-7DF47A4A46A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c:f>
              <c:numCache>
                <c:formatCode>General</c:formatCode>
                <c:ptCount val="1"/>
              </c:numCache>
            </c:numRef>
          </c:cat>
          <c:val>
            <c:numRef>
              <c:f>Лист1!$B$2</c:f>
              <c:numCache>
                <c:formatCode>0.00</c:formatCode>
                <c:ptCount val="1"/>
                <c:pt idx="0">
                  <c:v>0</c:v>
                </c:pt>
              </c:numCache>
            </c:numRef>
          </c:val>
          <c:extLst>
            <c:ext xmlns:c16="http://schemas.microsoft.com/office/drawing/2014/chart" uri="{C3380CC4-5D6E-409C-BE32-E72D297353CC}">
              <c16:uniqueId val="{00000001-A9F0-46DA-83F8-7DF47A4A46A0}"/>
            </c:ext>
          </c:extLst>
        </c:ser>
        <c:ser>
          <c:idx val="1"/>
          <c:order val="1"/>
          <c:tx>
            <c:strRef>
              <c:f>Лист1!$C$1</c:f>
              <c:strCache>
                <c:ptCount val="1"/>
                <c:pt idx="0">
                  <c:v>собственные средства2</c:v>
                </c:pt>
              </c:strCache>
            </c:strRef>
          </c:tx>
          <c:spPr>
            <a:prstGeom prst="rect">
              <a:avLst/>
            </a:prstGeom>
            <a:solidFill>
              <a:schemeClr val="accent5">
                <a:tint val="77000"/>
              </a:schemeClr>
            </a:solidFill>
            <a:ln>
              <a:noFill/>
            </a:ln>
            <a:effectLst/>
          </c:spPr>
          <c:invertIfNegative val="0"/>
          <c:dLbls>
            <c:dLbl>
              <c:idx val="0"/>
              <c:layout>
                <c:manualLayout>
                  <c:x val="2.6189E-2"/>
                  <c:y val="-1.3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F0-46DA-83F8-7DF47A4A46A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c:f>
              <c:numCache>
                <c:formatCode>General</c:formatCode>
                <c:ptCount val="1"/>
              </c:numCache>
            </c:numRef>
          </c:cat>
          <c:val>
            <c:numRef>
              <c:f>Лист1!$C$2</c:f>
              <c:numCache>
                <c:formatCode>0.00</c:formatCode>
                <c:ptCount val="1"/>
                <c:pt idx="0">
                  <c:v>351.74</c:v>
                </c:pt>
              </c:numCache>
            </c:numRef>
          </c:val>
          <c:extLst>
            <c:ext xmlns:c16="http://schemas.microsoft.com/office/drawing/2014/chart" uri="{C3380CC4-5D6E-409C-BE32-E72D297353CC}">
              <c16:uniqueId val="{00000003-A9F0-46DA-83F8-7DF47A4A46A0}"/>
            </c:ext>
          </c:extLst>
        </c:ser>
        <c:ser>
          <c:idx val="2"/>
          <c:order val="2"/>
          <c:tx>
            <c:strRef>
              <c:f>Лист1!$D$1</c:f>
              <c:strCache>
                <c:ptCount val="1"/>
                <c:pt idx="0">
                  <c:v>средства доп. фин. поддержка</c:v>
                </c:pt>
              </c:strCache>
            </c:strRef>
          </c:tx>
          <c:spPr>
            <a:prstGeom prst="rect">
              <a:avLst/>
            </a:prstGeom>
            <a:solidFill>
              <a:schemeClr val="accent5"/>
            </a:solidFill>
            <a:ln>
              <a:noFill/>
            </a:ln>
            <a:effectLst/>
          </c:spPr>
          <c:invertIfNegative val="0"/>
          <c:dLbls>
            <c:dLbl>
              <c:idx val="0"/>
              <c:layout>
                <c:manualLayout>
                  <c:x val="4.365E-3"/>
                  <c:y val="-4.5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9F0-46DA-83F8-7DF47A4A46A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c:f>
              <c:numCache>
                <c:formatCode>General</c:formatCode>
                <c:ptCount val="1"/>
              </c:numCache>
            </c:numRef>
          </c:cat>
          <c:val>
            <c:numRef>
              <c:f>Лист1!$D$2</c:f>
              <c:numCache>
                <c:formatCode>0.00</c:formatCode>
                <c:ptCount val="1"/>
                <c:pt idx="0">
                  <c:v>1879.4184578855368</c:v>
                </c:pt>
              </c:numCache>
            </c:numRef>
          </c:val>
          <c:extLst>
            <c:ext xmlns:c16="http://schemas.microsoft.com/office/drawing/2014/chart" uri="{C3380CC4-5D6E-409C-BE32-E72D297353CC}">
              <c16:uniqueId val="{00000005-A9F0-46DA-83F8-7DF47A4A46A0}"/>
            </c:ext>
          </c:extLst>
        </c:ser>
        <c:ser>
          <c:idx val="3"/>
          <c:order val="3"/>
          <c:tx>
            <c:strRef>
              <c:f>Лист1!$E$1</c:f>
              <c:strCache>
                <c:ptCount val="1"/>
                <c:pt idx="0">
                  <c:v>средства федерального бюджета</c:v>
                </c:pt>
              </c:strCache>
            </c:strRef>
          </c:tx>
          <c:spPr>
            <a:prstGeom prst="rect">
              <a:avLst/>
            </a:prstGeom>
            <a:solidFill>
              <a:schemeClr val="accent5">
                <a:shade val="76000"/>
              </a:schemeClr>
            </a:solidFill>
            <a:ln>
              <a:noFill/>
            </a:ln>
            <a:effectLst/>
          </c:spPr>
          <c:invertIfNegative val="0"/>
          <c:dLbls>
            <c:dLbl>
              <c:idx val="0"/>
              <c:layout>
                <c:manualLayout>
                  <c:x val="1.746E-2"/>
                  <c:y val="-3.2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9F0-46DA-83F8-7DF47A4A46A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c:f>
              <c:numCache>
                <c:formatCode>General</c:formatCode>
                <c:ptCount val="1"/>
              </c:numCache>
            </c:numRef>
          </c:cat>
          <c:val>
            <c:numRef>
              <c:f>Лист1!$E$2</c:f>
              <c:numCache>
                <c:formatCode>0.00</c:formatCode>
                <c:ptCount val="1"/>
                <c:pt idx="0">
                  <c:v>0</c:v>
                </c:pt>
              </c:numCache>
            </c:numRef>
          </c:val>
          <c:extLst>
            <c:ext xmlns:c16="http://schemas.microsoft.com/office/drawing/2014/chart" uri="{C3380CC4-5D6E-409C-BE32-E72D297353CC}">
              <c16:uniqueId val="{00000007-A9F0-46DA-83F8-7DF47A4A46A0}"/>
            </c:ext>
          </c:extLst>
        </c:ser>
        <c:ser>
          <c:idx val="4"/>
          <c:order val="4"/>
          <c:tx>
            <c:strRef>
              <c:f>Лист1!$F$1</c:f>
              <c:strCache>
                <c:ptCount val="1"/>
                <c:pt idx="0">
                  <c:v>плата за ТП</c:v>
                </c:pt>
              </c:strCache>
            </c:strRef>
          </c:tx>
          <c:spPr>
            <a:prstGeom prst="rect">
              <a:avLst/>
            </a:prstGeom>
            <a:solidFill>
              <a:schemeClr val="accent5">
                <a:shade val="5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c:f>
              <c:numCache>
                <c:formatCode>General</c:formatCode>
                <c:ptCount val="1"/>
              </c:numCache>
            </c:numRef>
          </c:cat>
          <c:val>
            <c:numRef>
              <c:f>Лист1!$F$2</c:f>
              <c:numCache>
                <c:formatCode>0.00</c:formatCode>
                <c:ptCount val="1"/>
                <c:pt idx="0">
                  <c:v>2407.39</c:v>
                </c:pt>
              </c:numCache>
            </c:numRef>
          </c:val>
          <c:extLst>
            <c:ext xmlns:c16="http://schemas.microsoft.com/office/drawing/2014/chart" uri="{C3380CC4-5D6E-409C-BE32-E72D297353CC}">
              <c16:uniqueId val="{00000008-A9F0-46DA-83F8-7DF47A4A46A0}"/>
            </c:ext>
          </c:extLst>
        </c:ser>
        <c:dLbls>
          <c:showLegendKey val="0"/>
          <c:showVal val="0"/>
          <c:showCatName val="0"/>
          <c:showSerName val="0"/>
          <c:showPercent val="0"/>
          <c:showBubbleSize val="0"/>
        </c:dLbls>
        <c:gapWidth val="180"/>
        <c:overlap val="100"/>
        <c:axId val="197556096"/>
        <c:axId val="197557632"/>
      </c:barChart>
      <c:catAx>
        <c:axId val="197556096"/>
        <c:scaling>
          <c:orientation val="minMax"/>
        </c:scaling>
        <c:delete val="0"/>
        <c:axPos val="b"/>
        <c:numFmt formatCode="General" sourceLinked="1"/>
        <c:majorTickMark val="out"/>
        <c:minorTickMark val="none"/>
        <c:tickLblPos val="nextTo"/>
        <c:spPr>
          <a:prstGeom prst="rect">
            <a:avLst/>
          </a:prstGeom>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a:solidFill>
                  <a:schemeClr val="tx1"/>
                </a:solidFill>
                <a:latin typeface="+mn-lt"/>
                <a:ea typeface="+mn-ea"/>
                <a:cs typeface="+mn-cs"/>
              </a:defRPr>
            </a:pPr>
            <a:endParaRPr lang="ru-RU"/>
          </a:p>
        </c:txPr>
        <c:crossAx val="197557632"/>
        <c:crosses val="autoZero"/>
        <c:auto val="1"/>
        <c:lblAlgn val="ctr"/>
        <c:lblOffset val="100"/>
        <c:noMultiLvlLbl val="0"/>
      </c:catAx>
      <c:valAx>
        <c:axId val="197557632"/>
        <c:scaling>
          <c:orientation val="minMax"/>
          <c:max val="4000"/>
        </c:scaling>
        <c:delete val="0"/>
        <c:axPos val="l"/>
        <c:majorGridlines>
          <c:spPr>
            <a:prstGeom prst="rect">
              <a:avLst/>
            </a:prstGeom>
            <a:ln w="6350" cap="flat" cmpd="sng" algn="ctr">
              <a:solidFill>
                <a:schemeClr val="tx1">
                  <a:tint val="75000"/>
                </a:schemeClr>
              </a:solidFill>
              <a:prstDash val="solid"/>
              <a:round/>
            </a:ln>
            <a:effectLst/>
          </c:spPr>
        </c:majorGridlines>
        <c:numFmt formatCode="0.00" sourceLinked="1"/>
        <c:majorTickMark val="out"/>
        <c:minorTickMark val="none"/>
        <c:tickLblPos val="nextTo"/>
        <c:spPr>
          <a:prstGeom prst="rect">
            <a:avLst/>
          </a:prstGeom>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a:solidFill>
                  <a:schemeClr val="tx1"/>
                </a:solidFill>
                <a:latin typeface="+mn-lt"/>
                <a:ea typeface="+mn-ea"/>
                <a:cs typeface="+mn-cs"/>
              </a:defRPr>
            </a:pPr>
            <a:endParaRPr lang="ru-RU"/>
          </a:p>
        </c:txPr>
        <c:crossAx val="197556096"/>
        <c:crosses val="autoZero"/>
        <c:crossBetween val="between"/>
      </c:valAx>
      <c:spPr>
        <a:prstGeom prst="rect">
          <a:avLst/>
        </a:prstGeom>
        <a:solidFill>
          <a:schemeClr val="bg1"/>
        </a:solidFill>
        <a:ln>
          <a:noFill/>
        </a:ln>
        <a:effectLst/>
      </c:spPr>
    </c:plotArea>
    <c:plotVisOnly val="1"/>
    <c:dispBlanksAs val="gap"/>
    <c:showDLblsOverMax val="0"/>
  </c:chart>
  <c:spPr>
    <a:prstGeom prst="rect">
      <a:avLst/>
    </a:prstGeom>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0949"/>
          <c:y val="8.1904000000000005E-2"/>
          <c:w val="0.66731099999999999"/>
          <c:h val="0.85508300000000004"/>
        </c:manualLayout>
      </c:layout>
      <c:pieChart>
        <c:varyColors val="1"/>
        <c:ser>
          <c:idx val="0"/>
          <c:order val="0"/>
          <c:tx>
            <c:strRef>
              <c:f>Лист1!$B$1</c:f>
              <c:strCache>
                <c:ptCount val="1"/>
                <c:pt idx="0">
                  <c:v>Столбец1</c:v>
                </c:pt>
              </c:strCache>
            </c:strRef>
          </c:tx>
          <c:explosion val="3"/>
          <c:dPt>
            <c:idx val="0"/>
            <c:bubble3D val="0"/>
            <c:explosion val="0"/>
            <c:spPr>
              <a:prstGeom prst="rect">
                <a:avLst/>
              </a:prstGeom>
              <a:solidFill>
                <a:schemeClr val="accent5">
                  <a:tint val="58000"/>
                </a:schemeClr>
              </a:solidFill>
              <a:ln>
                <a:noFill/>
              </a:ln>
              <a:effectLst/>
            </c:spPr>
            <c:extLst>
              <c:ext xmlns:c16="http://schemas.microsoft.com/office/drawing/2014/chart" uri="{C3380CC4-5D6E-409C-BE32-E72D297353CC}">
                <c16:uniqueId val="{00000001-092E-43DE-9557-3D84CECF7A0B}"/>
              </c:ext>
            </c:extLst>
          </c:dPt>
          <c:dPt>
            <c:idx val="1"/>
            <c:bubble3D val="0"/>
            <c:explosion val="0"/>
            <c:spPr>
              <a:prstGeom prst="rect">
                <a:avLst/>
              </a:prstGeom>
              <a:solidFill>
                <a:schemeClr val="accent5">
                  <a:tint val="86000"/>
                </a:schemeClr>
              </a:solidFill>
              <a:ln>
                <a:noFill/>
              </a:ln>
              <a:effectLst/>
            </c:spPr>
            <c:extLst>
              <c:ext xmlns:c16="http://schemas.microsoft.com/office/drawing/2014/chart" uri="{C3380CC4-5D6E-409C-BE32-E72D297353CC}">
                <c16:uniqueId val="{00000003-092E-43DE-9557-3D84CECF7A0B}"/>
              </c:ext>
            </c:extLst>
          </c:dPt>
          <c:dPt>
            <c:idx val="2"/>
            <c:bubble3D val="0"/>
            <c:explosion val="0"/>
            <c:spPr>
              <a:prstGeom prst="rect">
                <a:avLst/>
              </a:prstGeom>
              <a:solidFill>
                <a:schemeClr val="accent5">
                  <a:shade val="86000"/>
                </a:schemeClr>
              </a:solidFill>
              <a:ln>
                <a:noFill/>
              </a:ln>
              <a:effectLst/>
            </c:spPr>
            <c:extLst>
              <c:ext xmlns:c16="http://schemas.microsoft.com/office/drawing/2014/chart" uri="{C3380CC4-5D6E-409C-BE32-E72D297353CC}">
                <c16:uniqueId val="{00000005-092E-43DE-9557-3D84CECF7A0B}"/>
              </c:ext>
            </c:extLst>
          </c:dPt>
          <c:dPt>
            <c:idx val="3"/>
            <c:bubble3D val="0"/>
            <c:explosion val="0"/>
            <c:spPr>
              <a:prstGeom prst="rect">
                <a:avLst/>
              </a:prstGeom>
              <a:solidFill>
                <a:schemeClr val="accent5">
                  <a:shade val="58000"/>
                </a:schemeClr>
              </a:solidFill>
              <a:ln>
                <a:noFill/>
              </a:ln>
              <a:effectLst/>
            </c:spPr>
            <c:extLst>
              <c:ext xmlns:c16="http://schemas.microsoft.com/office/drawing/2014/chart" uri="{C3380CC4-5D6E-409C-BE32-E72D297353CC}">
                <c16:uniqueId val="{00000007-092E-43DE-9557-3D84CECF7A0B}"/>
              </c:ext>
            </c:extLst>
          </c:dPt>
          <c:dPt>
            <c:idx val="4"/>
            <c:bubble3D val="0"/>
            <c:spPr>
              <a:prstGeom prst="rect">
                <a:avLst/>
              </a:prstGeom>
              <a:solidFill>
                <a:schemeClr val="accent5">
                  <a:shade val="53000"/>
                </a:schemeClr>
              </a:solidFill>
              <a:ln>
                <a:noFill/>
              </a:ln>
              <a:effectLst/>
            </c:spPr>
            <c:extLst>
              <c:ext xmlns:c16="http://schemas.microsoft.com/office/drawing/2014/chart" uri="{C3380CC4-5D6E-409C-BE32-E72D297353CC}">
                <c16:uniqueId val="{00000009-092E-43DE-9557-3D84CECF7A0B}"/>
              </c:ext>
            </c:extLst>
          </c:dPt>
          <c:dLbls>
            <c:dLbl>
              <c:idx val="0"/>
              <c:layout>
                <c:manualLayout>
                  <c:x val="-3.8159999999999999E-3"/>
                  <c:y val="4.081000000000000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2E-43DE-9557-3D84CECF7A0B}"/>
                </c:ext>
              </c:extLst>
            </c:dLbl>
            <c:dLbl>
              <c:idx val="1"/>
              <c:layout>
                <c:manualLayout>
                  <c:x val="-4.7536000000000002E-2"/>
                  <c:y val="0.1266579999999999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2E-43DE-9557-3D84CECF7A0B}"/>
                </c:ext>
              </c:extLst>
            </c:dLbl>
            <c:dLbl>
              <c:idx val="2"/>
              <c:layout>
                <c:manualLayout>
                  <c:x val="-0.17241600000000001"/>
                  <c:y val="-8.1896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2E-43DE-9557-3D84CECF7A0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prstGeom prst="rect">
                  <a:avLst/>
                </a:prstGeom>
                <a:ln w="6350" cap="flat" cmpd="sng" algn="ctr">
                  <a:solidFill>
                    <a:schemeClr val="tx1"/>
                  </a:solidFill>
                  <a:prstDash val="solid"/>
                  <a:round/>
                </a:ln>
                <a:effectLst/>
              </c:spPr>
            </c:leaderLines>
            <c:extLst>
              <c:ext xmlns:c15="http://schemas.microsoft.com/office/drawing/2012/chart" uri="{CE6537A1-D6FC-4f65-9D91-7224C49458BB}">
                <c15:spPr xmlns:c15="http://schemas.microsoft.com/office/drawing/2012/chart">
                  <a:prstGeom prst="rect">
                    <a:avLst/>
                  </a:prstGeom>
                </c15:spPr>
              </c:ext>
            </c:extLst>
          </c:dLbls>
          <c:cat>
            <c:numRef>
              <c:f>Лист1!$A$2:$A$6</c:f>
              <c:numCache>
                <c:formatCode>General</c:formatCode>
                <c:ptCount val="5"/>
              </c:numCache>
            </c:numRef>
          </c:cat>
          <c:val>
            <c:numRef>
              <c:f>Лист1!$B$2:$B$6</c:f>
              <c:numCache>
                <c:formatCode>0.0%</c:formatCode>
                <c:ptCount val="5"/>
                <c:pt idx="0">
                  <c:v>0</c:v>
                </c:pt>
                <c:pt idx="1">
                  <c:v>7.5829751670939444E-2</c:v>
                </c:pt>
                <c:pt idx="2">
                  <c:v>0.40517380720771079</c:v>
                </c:pt>
                <c:pt idx="3">
                  <c:v>0</c:v>
                </c:pt>
                <c:pt idx="4">
                  <c:v>0.51899637765139839</c:v>
                </c:pt>
              </c:numCache>
            </c:numRef>
          </c:val>
          <c:extLst>
            <c:ext xmlns:c16="http://schemas.microsoft.com/office/drawing/2014/chart" uri="{C3380CC4-5D6E-409C-BE32-E72D297353CC}">
              <c16:uniqueId val="{0000000A-092E-43DE-9557-3D84CECF7A0B}"/>
            </c:ext>
          </c:extLst>
        </c:ser>
        <c:dLbls>
          <c:showLegendKey val="0"/>
          <c:showVal val="0"/>
          <c:showCatName val="0"/>
          <c:showSerName val="0"/>
          <c:showPercent val="0"/>
          <c:showBubbleSize val="0"/>
          <c:showLeaderLines val="1"/>
        </c:dLbls>
        <c:firstSliceAng val="0"/>
      </c:pieChart>
      <c:spPr>
        <a:prstGeom prst="rect">
          <a:avLst/>
        </a:prstGeom>
        <a:noFill/>
        <a:ln>
          <a:noFill/>
        </a:ln>
        <a:effectLst/>
      </c:spPr>
    </c:plotArea>
    <c:plotVisOnly val="1"/>
    <c:dispBlanksAs val="gap"/>
    <c:showDLblsOverMax val="0"/>
  </c:chart>
  <c:spPr>
    <a:prstGeom prst="rect">
      <a:avLst/>
    </a:prstGeom>
    <a:solidFill>
      <a:schemeClr val="bg1"/>
    </a:solidFill>
    <a:ln w="6350" cap="flat" cmpd="sng" algn="ctr">
      <a:noFill/>
      <a:prstDash val="solid"/>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9710000000000001E-3"/>
          <c:y val="0"/>
          <c:w val="0.99802900000000005"/>
          <c:h val="0.99346699999999999"/>
        </c:manualLayout>
      </c:layout>
      <c:barChart>
        <c:barDir val="bar"/>
        <c:grouping val="percentStacked"/>
        <c:varyColors val="0"/>
        <c:ser>
          <c:idx val="0"/>
          <c:order val="0"/>
          <c:tx>
            <c:strRef>
              <c:f>Лист1!$B$1</c:f>
              <c:strCache>
                <c:ptCount val="1"/>
                <c:pt idx="0">
                  <c:v>Займы</c:v>
                </c:pt>
              </c:strCache>
            </c:strRef>
          </c:tx>
          <c:spPr>
            <a:prstGeom prst="rect">
              <a:avLst/>
            </a:prstGeom>
            <a:solidFill>
              <a:schemeClr val="accent5">
                <a:tint val="54000"/>
              </a:schemeClr>
            </a:solidFill>
            <a:ln>
              <a:noFill/>
            </a:ln>
            <a:effectLst/>
          </c:spPr>
          <c:invertIfNegative val="0"/>
          <c:dLbls>
            <c:dLbl>
              <c:idx val="0"/>
              <c:layout>
                <c:manualLayout>
                  <c:x val="1.9243E-2"/>
                  <c:y val="1.5959000000000001E-2"/>
                </c:manualLayout>
              </c:layout>
              <c:tx>
                <c:rich>
                  <a:bodyPr/>
                  <a:lstStyle/>
                  <a:p>
                    <a:r>
                      <a:rPr lang="ru-RU"/>
                      <a:t>Собственные средства</a:t>
                    </a:r>
                  </a:p>
                </c:rich>
              </c:tx>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BDFC-4F85-87D0-74F0783E563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c:f>
              <c:strCache>
                <c:ptCount val="1"/>
                <c:pt idx="0">
                  <c:v>Категория 1</c:v>
                </c:pt>
              </c:strCache>
            </c:strRef>
          </c:cat>
          <c:val>
            <c:numRef>
              <c:f>Лист1!$B$2</c:f>
              <c:numCache>
                <c:formatCode>General</c:formatCode>
                <c:ptCount val="1"/>
                <c:pt idx="0">
                  <c:v>0</c:v>
                </c:pt>
              </c:numCache>
            </c:numRef>
          </c:val>
          <c:extLst>
            <c:ext xmlns:c16="http://schemas.microsoft.com/office/drawing/2014/chart" uri="{C3380CC4-5D6E-409C-BE32-E72D297353CC}">
              <c16:uniqueId val="{00000001-BDFC-4F85-87D0-74F0783E5632}"/>
            </c:ext>
          </c:extLst>
        </c:ser>
        <c:ser>
          <c:idx val="1"/>
          <c:order val="1"/>
          <c:tx>
            <c:strRef>
              <c:f>Лист1!$C$1</c:f>
              <c:strCache>
                <c:ptCount val="1"/>
                <c:pt idx="0">
                  <c:v>Собственные средства</c:v>
                </c:pt>
              </c:strCache>
            </c:strRef>
          </c:tx>
          <c:spPr>
            <a:prstGeom prst="rect">
              <a:avLst/>
            </a:prstGeom>
            <a:solidFill>
              <a:schemeClr val="accent5">
                <a:tint val="77000"/>
              </a:schemeClr>
            </a:solidFill>
            <a:ln>
              <a:noFill/>
            </a:ln>
            <a:effectLst/>
          </c:spPr>
          <c:invertIfNegative val="0"/>
          <c:dPt>
            <c:idx val="0"/>
            <c:invertIfNegative val="0"/>
            <c:bubble3D val="0"/>
            <c:extLst>
              <c:ext xmlns:c16="http://schemas.microsoft.com/office/drawing/2014/chart" uri="{C3380CC4-5D6E-409C-BE32-E72D297353CC}">
                <c16:uniqueId val="{00000002-BDFC-4F85-87D0-74F0783E5632}"/>
              </c:ext>
            </c:extLst>
          </c:dPt>
          <c:dLbls>
            <c:dLbl>
              <c:idx val="0"/>
              <c:layout>
                <c:manualLayout>
                  <c:x val="0.16306799999999999"/>
                  <c:y val="1.4564000000000001E-2"/>
                </c:manualLayout>
              </c:layout>
              <c:tx>
                <c:rich>
                  <a:bodyPr/>
                  <a:lstStyle/>
                  <a:p>
                    <a:r>
                      <a:rPr lang="ru-RU"/>
                      <a:t>Средства доп. фин. поддержки</a:t>
                    </a:r>
                  </a:p>
                  <a:p>
                    <a:endParaRPr lang="ru-RU"/>
                  </a:p>
                </c:rich>
              </c:tx>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BDFC-4F85-87D0-74F0783E563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c:f>
              <c:strCache>
                <c:ptCount val="1"/>
                <c:pt idx="0">
                  <c:v>Категория 1</c:v>
                </c:pt>
              </c:strCache>
            </c:strRef>
          </c:cat>
          <c:val>
            <c:numRef>
              <c:f>Лист1!$C$2</c:f>
              <c:numCache>
                <c:formatCode>General</c:formatCode>
                <c:ptCount val="1"/>
                <c:pt idx="0">
                  <c:v>351.74</c:v>
                </c:pt>
              </c:numCache>
            </c:numRef>
          </c:val>
          <c:extLst>
            <c:ext xmlns:c16="http://schemas.microsoft.com/office/drawing/2014/chart" uri="{C3380CC4-5D6E-409C-BE32-E72D297353CC}">
              <c16:uniqueId val="{00000003-BDFC-4F85-87D0-74F0783E5632}"/>
            </c:ext>
          </c:extLst>
        </c:ser>
        <c:ser>
          <c:idx val="2"/>
          <c:order val="2"/>
          <c:tx>
            <c:strRef>
              <c:f>Лист1!$D$1</c:f>
              <c:strCache>
                <c:ptCount val="1"/>
                <c:pt idx="0">
                  <c:v>Cредства доп. фин. Поддержки</c:v>
                </c:pt>
              </c:strCache>
            </c:strRef>
          </c:tx>
          <c:spPr>
            <a:prstGeom prst="rect">
              <a:avLst/>
            </a:prstGeom>
            <a:solidFill>
              <a:schemeClr val="accent5"/>
            </a:solidFill>
            <a:ln>
              <a:noFill/>
            </a:ln>
            <a:effectLst/>
          </c:spPr>
          <c:invertIfNegative val="0"/>
          <c:dPt>
            <c:idx val="0"/>
            <c:invertIfNegative val="0"/>
            <c:bubble3D val="0"/>
            <c:extLst>
              <c:ext xmlns:c16="http://schemas.microsoft.com/office/drawing/2014/chart" uri="{C3380CC4-5D6E-409C-BE32-E72D297353CC}">
                <c16:uniqueId val="{00000004-BDFC-4F85-87D0-74F0783E5632}"/>
              </c:ext>
            </c:extLst>
          </c:dPt>
          <c:cat>
            <c:strRef>
              <c:f>Лист1!$A$2</c:f>
              <c:strCache>
                <c:ptCount val="1"/>
                <c:pt idx="0">
                  <c:v>Категория 1</c:v>
                </c:pt>
              </c:strCache>
            </c:strRef>
          </c:cat>
          <c:val>
            <c:numRef>
              <c:f>Лист1!$D$2</c:f>
              <c:numCache>
                <c:formatCode>General</c:formatCode>
                <c:ptCount val="1"/>
                <c:pt idx="0">
                  <c:v>1879.4184578855368</c:v>
                </c:pt>
              </c:numCache>
            </c:numRef>
          </c:val>
          <c:extLst>
            <c:ext xmlns:c16="http://schemas.microsoft.com/office/drawing/2014/chart" uri="{C3380CC4-5D6E-409C-BE32-E72D297353CC}">
              <c16:uniqueId val="{00000005-BDFC-4F85-87D0-74F0783E5632}"/>
            </c:ext>
          </c:extLst>
        </c:ser>
        <c:ser>
          <c:idx val="3"/>
          <c:order val="3"/>
          <c:tx>
            <c:strRef>
              <c:f>Лист1!$E$1</c:f>
              <c:strCache>
                <c:ptCount val="1"/>
                <c:pt idx="0">
                  <c:v>Средства федерального бюджета</c:v>
                </c:pt>
              </c:strCache>
            </c:strRef>
          </c:tx>
          <c:spPr>
            <a:prstGeom prst="rect">
              <a:avLst/>
            </a:prstGeom>
            <a:solidFill>
              <a:schemeClr val="accent5">
                <a:shade val="76000"/>
              </a:schemeClr>
            </a:solidFill>
            <a:ln>
              <a:noFill/>
            </a:ln>
            <a:effectLst/>
          </c:spPr>
          <c:invertIfNegative val="0"/>
          <c:dLbls>
            <c:dLbl>
              <c:idx val="0"/>
              <c:layout>
                <c:manualLayout>
                  <c:x val="0.199132"/>
                  <c:y val="-1.5161000000000001E-2"/>
                </c:manualLayout>
              </c:layout>
              <c:tx>
                <c:rich>
                  <a:bodyPr rot="0" spcFirstLastPara="1" vertOverflow="ellipsis" vert="horz" wrap="square" lIns="38100" tIns="19050" rIns="38100" bIns="19050" anchor="ctr" anchorCtr="1">
                    <a:noAutofit/>
                  </a:bodyPr>
                  <a:lstStyle/>
                  <a:p>
                    <a:pPr>
                      <a:defRPr sz="1000" b="0" i="0" u="none" strike="noStrike">
                        <a:solidFill>
                          <a:schemeClr val="tx1"/>
                        </a:solidFill>
                        <a:latin typeface="+mn-lt"/>
                        <a:ea typeface="+mn-ea"/>
                        <a:cs typeface="+mn-cs"/>
                      </a:defRPr>
                    </a:pPr>
                    <a:r>
                      <a:rPr lang="ru-RU"/>
                      <a:t>Плата                                       за ТП</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BDFC-4F85-87D0-74F0783E563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c:f>
              <c:strCache>
                <c:ptCount val="1"/>
                <c:pt idx="0">
                  <c:v>Категория 1</c:v>
                </c:pt>
              </c:strCache>
            </c:strRef>
          </c:cat>
          <c:val>
            <c:numRef>
              <c:f>Лист1!$E$2</c:f>
              <c:numCache>
                <c:formatCode>General</c:formatCode>
                <c:ptCount val="1"/>
                <c:pt idx="0">
                  <c:v>0</c:v>
                </c:pt>
              </c:numCache>
            </c:numRef>
          </c:val>
          <c:extLst>
            <c:ext xmlns:c16="http://schemas.microsoft.com/office/drawing/2014/chart" uri="{C3380CC4-5D6E-409C-BE32-E72D297353CC}">
              <c16:uniqueId val="{00000007-BDFC-4F85-87D0-74F0783E5632}"/>
            </c:ext>
          </c:extLst>
        </c:ser>
        <c:ser>
          <c:idx val="4"/>
          <c:order val="4"/>
          <c:tx>
            <c:strRef>
              <c:f>Лист1!$F$1</c:f>
              <c:strCache>
                <c:ptCount val="1"/>
                <c:pt idx="0">
                  <c:v>Плата за ТП</c:v>
                </c:pt>
              </c:strCache>
            </c:strRef>
          </c:tx>
          <c:spPr>
            <a:prstGeom prst="rect">
              <a:avLst/>
            </a:prstGeom>
            <a:solidFill>
              <a:schemeClr val="accent5">
                <a:shade val="53000"/>
              </a:schemeClr>
            </a:solidFill>
            <a:ln>
              <a:noFill/>
            </a:ln>
            <a:effectLst/>
          </c:spPr>
          <c:invertIfNegative val="0"/>
          <c:cat>
            <c:strRef>
              <c:f>Лист1!$A$2</c:f>
              <c:strCache>
                <c:ptCount val="1"/>
                <c:pt idx="0">
                  <c:v>Категория 1</c:v>
                </c:pt>
              </c:strCache>
            </c:strRef>
          </c:cat>
          <c:val>
            <c:numRef>
              <c:f>Лист1!$F$2</c:f>
              <c:numCache>
                <c:formatCode>General</c:formatCode>
                <c:ptCount val="1"/>
                <c:pt idx="0">
                  <c:v>2407.39</c:v>
                </c:pt>
              </c:numCache>
            </c:numRef>
          </c:val>
          <c:extLst>
            <c:ext xmlns:c16="http://schemas.microsoft.com/office/drawing/2014/chart" uri="{C3380CC4-5D6E-409C-BE32-E72D297353CC}">
              <c16:uniqueId val="{00000008-BDFC-4F85-87D0-74F0783E5632}"/>
            </c:ext>
          </c:extLst>
        </c:ser>
        <c:dLbls>
          <c:showLegendKey val="0"/>
          <c:showVal val="0"/>
          <c:showCatName val="0"/>
          <c:showSerName val="0"/>
          <c:showPercent val="0"/>
          <c:showBubbleSize val="0"/>
        </c:dLbls>
        <c:gapWidth val="150"/>
        <c:overlap val="100"/>
        <c:axId val="197438464"/>
        <c:axId val="197464832"/>
      </c:barChart>
      <c:catAx>
        <c:axId val="197438464"/>
        <c:scaling>
          <c:orientation val="minMax"/>
        </c:scaling>
        <c:delete val="1"/>
        <c:axPos val="l"/>
        <c:numFmt formatCode="General" sourceLinked="0"/>
        <c:majorTickMark val="out"/>
        <c:minorTickMark val="none"/>
        <c:tickLblPos val="nextTo"/>
        <c:crossAx val="197464832"/>
        <c:crosses val="autoZero"/>
        <c:auto val="1"/>
        <c:lblAlgn val="ctr"/>
        <c:lblOffset val="100"/>
        <c:noMultiLvlLbl val="0"/>
      </c:catAx>
      <c:valAx>
        <c:axId val="197464832"/>
        <c:scaling>
          <c:orientation val="minMax"/>
          <c:max val="1"/>
          <c:min val="0"/>
        </c:scaling>
        <c:delete val="1"/>
        <c:axPos val="b"/>
        <c:majorGridlines>
          <c:spPr>
            <a:prstGeom prst="rect">
              <a:avLst/>
            </a:prstGeom>
            <a:ln w="6350" cap="flat" cmpd="sng" algn="ctr">
              <a:solidFill>
                <a:schemeClr val="tx1">
                  <a:tint val="75000"/>
                </a:schemeClr>
              </a:solidFill>
              <a:prstDash val="solid"/>
              <a:round/>
            </a:ln>
            <a:effectLst/>
          </c:spPr>
        </c:majorGridlines>
        <c:numFmt formatCode="General" sourceLinked="0"/>
        <c:majorTickMark val="out"/>
        <c:minorTickMark val="none"/>
        <c:tickLblPos val="nextTo"/>
        <c:crossAx val="197438464"/>
        <c:crosses val="autoZero"/>
        <c:crossBetween val="between"/>
      </c:valAx>
      <c:spPr>
        <a:prstGeom prst="rect">
          <a:avLst/>
        </a:prstGeom>
        <a:solidFill>
          <a:schemeClr val="bg1"/>
        </a:solidFill>
        <a:ln>
          <a:noFill/>
        </a:ln>
        <a:effectLst/>
      </c:spPr>
    </c:plotArea>
    <c:plotVisOnly val="1"/>
    <c:dispBlanksAs val="gap"/>
    <c:showDLblsOverMax val="0"/>
  </c:chart>
  <c:spPr>
    <a:prstGeom prst="rect">
      <a:avLst/>
    </a:prstGeom>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9900000000001"/>
          <c:y val="2.5822999999999999E-2"/>
          <c:w val="0.83899900000000005"/>
          <c:h val="0.85539699999999996"/>
        </c:manualLayout>
      </c:layout>
      <c:barChart>
        <c:barDir val="col"/>
        <c:grouping val="clustered"/>
        <c:varyColors val="0"/>
        <c:ser>
          <c:idx val="2"/>
          <c:order val="0"/>
          <c:tx>
            <c:strRef>
              <c:f>Лист1!$B$1</c:f>
              <c:strCache>
                <c:ptCount val="1"/>
                <c:pt idx="0">
                  <c:v>Финансирование</c:v>
                </c:pt>
              </c:strCache>
            </c:strRef>
          </c:tx>
          <c:spPr>
            <a:prstGeom prst="rect">
              <a:avLst/>
            </a:prstGeom>
            <a:solidFill>
              <a:schemeClr val="accent5">
                <a:shade val="65000"/>
              </a:schemeClr>
            </a:solidFill>
            <a:ln>
              <a:noFill/>
            </a:ln>
            <a:effectLst/>
          </c:spPr>
          <c:invertIfNegative val="0"/>
          <c:dPt>
            <c:idx val="0"/>
            <c:invertIfNegative val="0"/>
            <c:bubble3D val="0"/>
            <c:spPr>
              <a:prstGeom prst="rect">
                <a:avLst/>
              </a:prstGeom>
              <a:solidFill>
                <a:schemeClr val="accent5">
                  <a:shade val="65000"/>
                </a:schemeClr>
              </a:solidFill>
              <a:ln>
                <a:noFill/>
              </a:ln>
              <a:effectLst/>
            </c:spPr>
            <c:extLst>
              <c:ext xmlns:c16="http://schemas.microsoft.com/office/drawing/2014/chart" uri="{C3380CC4-5D6E-409C-BE32-E72D297353CC}">
                <c16:uniqueId val="{00000001-494B-481E-BCFD-DEC78FF5724A}"/>
              </c:ext>
            </c:extLst>
          </c:dPt>
          <c:dLbls>
            <c:dLbl>
              <c:idx val="0"/>
              <c:layout>
                <c:manualLayout>
                  <c:x val="0"/>
                  <c:y val="1.66059999999999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4B-481E-BCFD-DEC78FF5724A}"/>
                </c:ext>
              </c:extLst>
            </c:dLbl>
            <c:dLbl>
              <c:idx val="1"/>
              <c:layout>
                <c:manualLayout>
                  <c:x val="-2.1380000000000001E-3"/>
                  <c:y val="9.412000000000000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4B-481E-BCFD-DEC78FF5724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Лист1!$A$2:$A$5</c:f>
              <c:numCache>
                <c:formatCode>General</c:formatCode>
                <c:ptCount val="4"/>
                <c:pt idx="0">
                  <c:v>2025</c:v>
                </c:pt>
                <c:pt idx="1">
                  <c:v>2026</c:v>
                </c:pt>
                <c:pt idx="2">
                  <c:v>2027</c:v>
                </c:pt>
                <c:pt idx="3">
                  <c:v>2028</c:v>
                </c:pt>
              </c:numCache>
            </c:numRef>
          </c:cat>
          <c:val>
            <c:numRef>
              <c:f>Лист1!$B$2:$B$5</c:f>
              <c:numCache>
                <c:formatCode>0</c:formatCode>
                <c:ptCount val="4"/>
                <c:pt idx="0">
                  <c:v>4220.41</c:v>
                </c:pt>
                <c:pt idx="1">
                  <c:v>1594.45</c:v>
                </c:pt>
                <c:pt idx="2">
                  <c:v>226.47</c:v>
                </c:pt>
                <c:pt idx="3">
                  <c:v>238.33</c:v>
                </c:pt>
              </c:numCache>
            </c:numRef>
          </c:val>
          <c:extLst>
            <c:ext xmlns:c16="http://schemas.microsoft.com/office/drawing/2014/chart" uri="{C3380CC4-5D6E-409C-BE32-E72D297353CC}">
              <c16:uniqueId val="{00000003-494B-481E-BCFD-DEC78FF5724A}"/>
            </c:ext>
          </c:extLst>
        </c:ser>
        <c:dLbls>
          <c:dLblPos val="inEnd"/>
          <c:showLegendKey val="0"/>
          <c:showVal val="1"/>
          <c:showCatName val="0"/>
          <c:showSerName val="0"/>
          <c:showPercent val="0"/>
          <c:showBubbleSize val="0"/>
        </c:dLbls>
        <c:gapWidth val="219"/>
        <c:overlap val="-27"/>
        <c:axId val="197595904"/>
        <c:axId val="197599232"/>
      </c:barChart>
      <c:catAx>
        <c:axId val="197595904"/>
        <c:scaling>
          <c:orientation val="minMax"/>
        </c:scaling>
        <c:delete val="0"/>
        <c:axPos val="b"/>
        <c:numFmt formatCode="General" sourceLinked="0"/>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599232"/>
        <c:crosses val="autoZero"/>
        <c:auto val="1"/>
        <c:lblAlgn val="ctr"/>
        <c:lblOffset val="100"/>
        <c:noMultiLvlLbl val="0"/>
      </c:catAx>
      <c:valAx>
        <c:axId val="197599232"/>
        <c:scaling>
          <c:orientation val="minMax"/>
          <c:max val="5000"/>
          <c:min val="0"/>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0" spcFirstLastPara="1" vertOverflow="ellipsis"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595904"/>
        <c:crosses val="autoZero"/>
        <c:crossBetween val="between"/>
        <c:majorUnit val="1000"/>
        <c:minorUnit val="10"/>
      </c:valAx>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33800000000001"/>
          <c:y val="5.7432999999999998E-2"/>
          <c:w val="0.77949100000000004"/>
          <c:h val="0.794462"/>
        </c:manualLayout>
      </c:layout>
      <c:barChart>
        <c:barDir val="col"/>
        <c:grouping val="clustered"/>
        <c:varyColors val="0"/>
        <c:ser>
          <c:idx val="0"/>
          <c:order val="0"/>
          <c:tx>
            <c:strRef>
              <c:f>Лист1!$B$1</c:f>
              <c:strCache>
                <c:ptCount val="1"/>
                <c:pt idx="0">
                  <c:v>КВЛ</c:v>
                </c:pt>
              </c:strCache>
            </c:strRef>
          </c:tx>
          <c:spPr>
            <a:prstGeom prst="rect">
              <a:avLst/>
            </a:prstGeom>
            <a:solidFill>
              <a:schemeClr val="accent5">
                <a:tint val="77000"/>
              </a:schemeClr>
            </a:solidFill>
            <a:ln>
              <a:noFill/>
            </a:ln>
            <a:effectLst/>
          </c:spPr>
          <c:invertIfNegative val="0"/>
          <c:dLbls>
            <c:dLbl>
              <c:idx val="0"/>
              <c:layout>
                <c:manualLayout>
                  <c:x val="-1.379E-3"/>
                  <c:y val="8.12200000000000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9C9-4E73-86E7-F547C9AD4EA0}"/>
                </c:ext>
              </c:extLst>
            </c:dLbl>
            <c:dLbl>
              <c:idx val="1"/>
              <c:layout>
                <c:manualLayout>
                  <c:x val="2.4069999999999999E-3"/>
                  <c:y val="1.2784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C9-4E73-86E7-F547C9AD4EA0}"/>
                </c:ext>
              </c:extLst>
            </c:dLbl>
            <c:dLbl>
              <c:idx val="2"/>
              <c:layout>
                <c:manualLayout>
                  <c:x val="-4.862E-3"/>
                  <c:y val="2.07699999999999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C9-4E73-86E7-F547C9AD4EA0}"/>
                </c:ext>
              </c:extLst>
            </c:dLbl>
            <c:dLbl>
              <c:idx val="3"/>
              <c:layout>
                <c:manualLayout>
                  <c:x val="-1.8599999999999999E-4"/>
                  <c:y val="-2.18700000000000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9C9-4E73-86E7-F547C9AD4EA0}"/>
                </c:ext>
              </c:extLst>
            </c:dLbl>
            <c:dLbl>
              <c:idx val="4"/>
              <c:layout>
                <c:manualLayout>
                  <c:x val="-1.8829999999999999E-3"/>
                  <c:y val="-8.9700000000000001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9C9-4E73-86E7-F547C9AD4EA0}"/>
                </c:ext>
              </c:extLst>
            </c:dLbl>
            <c:dLbl>
              <c:idx val="5"/>
              <c:layout>
                <c:manualLayout>
                  <c:x val="-2.0218E-2"/>
                  <c:y val="-3.9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9C9-4E73-86E7-F547C9AD4EA0}"/>
                </c:ext>
              </c:extLst>
            </c:dLbl>
            <c:dLbl>
              <c:idx val="6"/>
              <c:layout>
                <c:manualLayout>
                  <c:x val="-1.798800000000000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9C9-4E73-86E7-F547C9AD4E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Лист1!$A$2:$A$5</c:f>
              <c:numCache>
                <c:formatCode>General</c:formatCode>
                <c:ptCount val="4"/>
                <c:pt idx="0">
                  <c:v>2025</c:v>
                </c:pt>
                <c:pt idx="1">
                  <c:v>2026</c:v>
                </c:pt>
                <c:pt idx="2">
                  <c:v>2027</c:v>
                </c:pt>
                <c:pt idx="3">
                  <c:v>2028</c:v>
                </c:pt>
              </c:numCache>
            </c:numRef>
          </c:cat>
          <c:val>
            <c:numRef>
              <c:f>Лист1!$B$2:$B$5</c:f>
              <c:numCache>
                <c:formatCode>0</c:formatCode>
                <c:ptCount val="4"/>
                <c:pt idx="0">
                  <c:v>2449.33</c:v>
                </c:pt>
                <c:pt idx="1">
                  <c:v>1416.23</c:v>
                </c:pt>
                <c:pt idx="2">
                  <c:v>160.66999999999999</c:v>
                </c:pt>
                <c:pt idx="3">
                  <c:v>198</c:v>
                </c:pt>
              </c:numCache>
            </c:numRef>
          </c:val>
          <c:extLst>
            <c:ext xmlns:c16="http://schemas.microsoft.com/office/drawing/2014/chart" uri="{C3380CC4-5D6E-409C-BE32-E72D297353CC}">
              <c16:uniqueId val="{00000007-A9C9-4E73-86E7-F547C9AD4EA0}"/>
            </c:ext>
          </c:extLst>
        </c:ser>
        <c:ser>
          <c:idx val="1"/>
          <c:order val="1"/>
          <c:tx>
            <c:strRef>
              <c:f>Лист1!$C$1</c:f>
              <c:strCache>
                <c:ptCount val="1"/>
                <c:pt idx="0">
                  <c:v>Ввод</c:v>
                </c:pt>
              </c:strCache>
            </c:strRef>
          </c:tx>
          <c:spPr>
            <a:prstGeom prst="rect">
              <a:avLst/>
            </a:prstGeom>
            <a:solidFill>
              <a:srgbClr val="3B64AD"/>
            </a:solidFill>
            <a:ln>
              <a:noFill/>
            </a:ln>
            <a:effectLst/>
          </c:spPr>
          <c:invertIfNegative val="1"/>
          <c:dLbls>
            <c:dLbl>
              <c:idx val="0"/>
              <c:layout>
                <c:manualLayout>
                  <c:x val="-1.967E-3"/>
                  <c:y val="4.67699999999999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9C9-4E73-86E7-F547C9AD4EA0}"/>
                </c:ext>
              </c:extLst>
            </c:dLbl>
            <c:dLbl>
              <c:idx val="1"/>
              <c:layout>
                <c:manualLayout>
                  <c:x val="1.8109999999999999E-3"/>
                  <c:y val="1.408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9C9-4E73-86E7-F547C9AD4EA0}"/>
                </c:ext>
              </c:extLst>
            </c:dLbl>
            <c:dLbl>
              <c:idx val="2"/>
              <c:layout>
                <c:manualLayout>
                  <c:x val="-6.4899999999999995E-4"/>
                  <c:y val="3.4299999999999999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9C9-4E73-86E7-F547C9AD4EA0}"/>
                </c:ext>
              </c:extLst>
            </c:dLbl>
            <c:dLbl>
              <c:idx val="3"/>
              <c:layout>
                <c:manualLayout>
                  <c:x val="-8.3500000000000002E-4"/>
                  <c:y val="4.560000000000000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9C9-4E73-86E7-F547C9AD4EA0}"/>
                </c:ext>
              </c:extLst>
            </c:dLbl>
            <c:dLbl>
              <c:idx val="4"/>
              <c:layout>
                <c:manualLayout>
                  <c:x val="1.1242E-2"/>
                  <c:y val="-4.17399999999999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9C9-4E73-86E7-F547C9AD4EA0}"/>
                </c:ext>
              </c:extLst>
            </c:dLbl>
            <c:dLbl>
              <c:idx val="5"/>
              <c:layout>
                <c:manualLayout>
                  <c:x val="8.9940000000000003E-3"/>
                  <c:y val="-4.86599999999999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9C9-4E73-86E7-F547C9AD4EA0}"/>
                </c:ext>
              </c:extLst>
            </c:dLbl>
            <c:dLbl>
              <c:idx val="6"/>
              <c:layout>
                <c:manualLayout>
                  <c:x val="1.349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9C9-4E73-86E7-F547C9AD4E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Лист1!$A$2:$A$5</c:f>
              <c:numCache>
                <c:formatCode>General</c:formatCode>
                <c:ptCount val="4"/>
                <c:pt idx="0">
                  <c:v>2025</c:v>
                </c:pt>
                <c:pt idx="1">
                  <c:v>2026</c:v>
                </c:pt>
                <c:pt idx="2">
                  <c:v>2027</c:v>
                </c:pt>
                <c:pt idx="3">
                  <c:v>2028</c:v>
                </c:pt>
              </c:numCache>
            </c:numRef>
          </c:cat>
          <c:val>
            <c:numRef>
              <c:f>Лист1!$C$2:$C$5</c:f>
              <c:numCache>
                <c:formatCode>0</c:formatCode>
                <c:ptCount val="4"/>
                <c:pt idx="0">
                  <c:v>5951.33</c:v>
                </c:pt>
                <c:pt idx="1">
                  <c:v>4762.08</c:v>
                </c:pt>
                <c:pt idx="2">
                  <c:v>161.16999999999999</c:v>
                </c:pt>
                <c:pt idx="3">
                  <c:v>198</c:v>
                </c:pt>
              </c:numCache>
            </c:numRef>
          </c:val>
          <c:extLst>
            <c:ext xmlns:c14="http://schemas.microsoft.com/office/drawing/2007/8/2/chart" uri="{6F2FDCE9-48DA-4B69-8628-5D25D57E5C99}">
              <c14:invertSolidFillFmt>
                <c14:spPr xmlns:c14="http://schemas.microsoft.com/office/drawing/2007/8/2/chart">
                  <a:prstGeom prst="rect">
                    <a:avLst/>
                  </a:prstGeom>
                  <a:solidFill>
                    <a:srgbClr val="FFFFFF"/>
                  </a:solidFill>
                  <a:ln>
                    <a:noFill/>
                  </a:ln>
                  <a:effectLst/>
                </c14:spPr>
              </c14:invertSolidFillFmt>
            </c:ext>
            <c:ext xmlns:c16="http://schemas.microsoft.com/office/drawing/2014/chart" uri="{C3380CC4-5D6E-409C-BE32-E72D297353CC}">
              <c16:uniqueId val="{0000000F-A9C9-4E73-86E7-F547C9AD4EA0}"/>
            </c:ext>
          </c:extLst>
        </c:ser>
        <c:dLbls>
          <c:showLegendKey val="0"/>
          <c:showVal val="0"/>
          <c:showCatName val="0"/>
          <c:showSerName val="0"/>
          <c:showPercent val="0"/>
          <c:showBubbleSize val="0"/>
        </c:dLbls>
        <c:gapWidth val="219"/>
        <c:overlap val="-27"/>
        <c:axId val="197652864"/>
        <c:axId val="197654400"/>
      </c:barChart>
      <c:catAx>
        <c:axId val="197652864"/>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654400"/>
        <c:crosses val="autoZero"/>
        <c:auto val="1"/>
        <c:lblAlgn val="ctr"/>
        <c:lblOffset val="100"/>
        <c:noMultiLvlLbl val="0"/>
      </c:catAx>
      <c:valAx>
        <c:axId val="197654400"/>
        <c:scaling>
          <c:orientation val="minMax"/>
          <c:max val="7000"/>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652864"/>
        <c:crosses val="autoZero"/>
        <c:crossBetween val="between"/>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Ввод мощности, МВА</c:v>
                </c:pt>
              </c:strCache>
            </c:strRef>
          </c:tx>
          <c:spPr>
            <a:prstGeom prst="rect">
              <a:avLst/>
            </a:prstGeom>
            <a:solidFill>
              <a:schemeClr val="accent5">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Лист1!$A$2:$A$5</c:f>
              <c:numCache>
                <c:formatCode>General</c:formatCode>
                <c:ptCount val="4"/>
                <c:pt idx="0">
                  <c:v>2025</c:v>
                </c:pt>
                <c:pt idx="1">
                  <c:v>2026</c:v>
                </c:pt>
                <c:pt idx="2">
                  <c:v>2027</c:v>
                </c:pt>
                <c:pt idx="3">
                  <c:v>2028</c:v>
                </c:pt>
              </c:numCache>
            </c:numRef>
          </c:cat>
          <c:val>
            <c:numRef>
              <c:f>Лист1!$B$2:$B$5</c:f>
              <c:numCache>
                <c:formatCode>0.00</c:formatCode>
                <c:ptCount val="4"/>
                <c:pt idx="0">
                  <c:v>111.2</c:v>
                </c:pt>
                <c:pt idx="1">
                  <c:v>56.3</c:v>
                </c:pt>
                <c:pt idx="2">
                  <c:v>0</c:v>
                </c:pt>
                <c:pt idx="3">
                  <c:v>0</c:v>
                </c:pt>
              </c:numCache>
            </c:numRef>
          </c:val>
          <c:extLst>
            <c:ext xmlns:c16="http://schemas.microsoft.com/office/drawing/2014/chart" uri="{C3380CC4-5D6E-409C-BE32-E72D297353CC}">
              <c16:uniqueId val="{00000000-BAC9-4FCB-A19A-8406AC7EDA13}"/>
            </c:ext>
          </c:extLst>
        </c:ser>
        <c:ser>
          <c:idx val="1"/>
          <c:order val="1"/>
          <c:tx>
            <c:strRef>
              <c:f>Лист1!$C$1</c:f>
              <c:strCache>
                <c:ptCount val="1"/>
                <c:pt idx="0">
                  <c:v>Ввод мощности, км</c:v>
                </c:pt>
              </c:strCache>
            </c:strRef>
          </c:tx>
          <c:spPr>
            <a:prstGeom prst="rect">
              <a:avLst/>
            </a:prstGeom>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Лист1!$A$2:$A$5</c:f>
              <c:numCache>
                <c:formatCode>General</c:formatCode>
                <c:ptCount val="4"/>
                <c:pt idx="0">
                  <c:v>2025</c:v>
                </c:pt>
                <c:pt idx="1">
                  <c:v>2026</c:v>
                </c:pt>
                <c:pt idx="2">
                  <c:v>2027</c:v>
                </c:pt>
                <c:pt idx="3">
                  <c:v>2028</c:v>
                </c:pt>
              </c:numCache>
            </c:numRef>
          </c:cat>
          <c:val>
            <c:numRef>
              <c:f>Лист1!$C$2:$C$5</c:f>
              <c:numCache>
                <c:formatCode>0.00</c:formatCode>
                <c:ptCount val="4"/>
                <c:pt idx="0">
                  <c:v>223.45</c:v>
                </c:pt>
                <c:pt idx="1">
                  <c:v>74.55</c:v>
                </c:pt>
                <c:pt idx="2">
                  <c:v>39.479999999999997</c:v>
                </c:pt>
                <c:pt idx="3">
                  <c:v>55.74</c:v>
                </c:pt>
              </c:numCache>
            </c:numRef>
          </c:val>
          <c:extLst>
            <c:ext xmlns:c16="http://schemas.microsoft.com/office/drawing/2014/chart" uri="{C3380CC4-5D6E-409C-BE32-E72D297353CC}">
              <c16:uniqueId val="{00000001-BAC9-4FCB-A19A-8406AC7EDA13}"/>
            </c:ext>
          </c:extLst>
        </c:ser>
        <c:dLbls>
          <c:showLegendKey val="0"/>
          <c:showVal val="0"/>
          <c:showCatName val="0"/>
          <c:showSerName val="0"/>
          <c:showPercent val="0"/>
          <c:showBubbleSize val="0"/>
        </c:dLbls>
        <c:gapWidth val="219"/>
        <c:overlap val="-27"/>
        <c:axId val="197849088"/>
        <c:axId val="197850624"/>
      </c:barChart>
      <c:catAx>
        <c:axId val="197849088"/>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850624"/>
        <c:crosses val="autoZero"/>
        <c:auto val="1"/>
        <c:lblAlgn val="ctr"/>
        <c:lblOffset val="100"/>
        <c:noMultiLvlLbl val="0"/>
      </c:catAx>
      <c:valAx>
        <c:axId val="197850624"/>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0" sourceLinked="1"/>
        <c:majorTickMark val="none"/>
        <c:minorTickMark val="none"/>
        <c:tickLblPos val="nextTo"/>
        <c:spPr>
          <a:prstGeom prst="rect">
            <a:avLst/>
          </a:prstGeom>
          <a:noFill/>
          <a:ln>
            <a:noFill/>
            <a:miter/>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97849088"/>
        <c:crosses val="autoZero"/>
        <c:crossBetween val="between"/>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noFill/>
      <a:round/>
    </a:ln>
    <a:effectLst/>
  </c:spPr>
  <c:txPr>
    <a:bodyPr/>
    <a:lstStyle/>
    <a:p>
      <a:pP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0.42242</cdr:x>
      <cdr:y>0.23051</cdr:y>
    </cdr:from>
    <cdr:to>
      <cdr:x>0.56529</cdr:x>
      <cdr:y>0.28628</cdr:y>
    </cdr:to>
    <cdr:sp macro="" textlink="">
      <cdr:nvSpPr>
        <cdr:cNvPr id="3" name="Поле 2"/>
        <cdr:cNvSpPr txBox="1"/>
      </cdr:nvSpPr>
      <cdr:spPr bwMode="auto">
        <a:xfrm xmlns:a="http://schemas.openxmlformats.org/drawingml/2006/main">
          <a:off x="2509112" y="907084"/>
          <a:ext cx="848564" cy="2194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a:lnSpc>
              <a:spcPct val="100000"/>
            </a:lnSpc>
            <a:spcBef>
              <a:spcPts val="0"/>
            </a:spcBef>
            <a:spcAft>
              <a:spcPts val="0"/>
            </a:spcAft>
            <a:buClrTx/>
            <a:buSzTx/>
            <a:buFontTx/>
            <a:buNone/>
            <a:defRPr/>
          </a:pPr>
          <a:r>
            <a:rPr lang="ru-RU" sz="1100" b="1"/>
            <a:t>Значимая</a:t>
          </a:r>
          <a:endParaRPr/>
        </a:p>
        <a:p xmlns:a="http://schemas.openxmlformats.org/drawingml/2006/main">
          <a:pPr>
            <a:defRPr/>
          </a:pPr>
          <a:endParaRPr lang="ru-RU" sz="1100"/>
        </a:p>
      </cdr:txBody>
    </cdr:sp>
  </cdr:relSizeAnchor>
  <cdr:relSizeAnchor xmlns:cdr="http://schemas.openxmlformats.org/drawingml/2006/chartDrawing">
    <cdr:from>
      <cdr:x>0.41011</cdr:x>
      <cdr:y>0.39224</cdr:y>
    </cdr:from>
    <cdr:to>
      <cdr:x>0.56036</cdr:x>
      <cdr:y>0.47032</cdr:y>
    </cdr:to>
    <cdr:sp macro="" textlink="">
      <cdr:nvSpPr>
        <cdr:cNvPr id="4" name="Поле 3"/>
        <cdr:cNvSpPr txBox="1"/>
      </cdr:nvSpPr>
      <cdr:spPr bwMode="auto">
        <a:xfrm xmlns:a="http://schemas.openxmlformats.org/drawingml/2006/main">
          <a:off x="2435961" y="1543508"/>
          <a:ext cx="892454" cy="307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a:lnSpc>
              <a:spcPct val="100000"/>
            </a:lnSpc>
            <a:spcBef>
              <a:spcPts val="0"/>
            </a:spcBef>
            <a:spcAft>
              <a:spcPts val="0"/>
            </a:spcAft>
            <a:buClrTx/>
            <a:buSzTx/>
            <a:buFontTx/>
            <a:buNone/>
            <a:defRPr/>
          </a:pPr>
          <a:r>
            <a:rPr lang="ru-RU" sz="1100" b="1"/>
            <a:t>Умеренная</a:t>
          </a:r>
          <a:endParaRPr/>
        </a:p>
        <a:p xmlns:a="http://schemas.openxmlformats.org/drawingml/2006/main">
          <a:pPr>
            <a:defRPr/>
          </a:pPr>
          <a:endParaRPr lang="ru-RU" sz="1100"/>
        </a:p>
      </cdr:txBody>
    </cdr:sp>
  </cdr:relSizeAnchor>
</c:userShapes>
</file>

<file path=word/drawings/drawing2.xml><?xml version="1.0" encoding="utf-8"?>
<c:userShapes xmlns:c="http://schemas.openxmlformats.org/drawingml/2006/chart">
  <cdr:relSizeAnchor xmlns:cdr="http://schemas.openxmlformats.org/drawingml/2006/chartDrawing">
    <cdr:from>
      <cdr:x>0.25878</cdr:x>
      <cdr:y>0.58013</cdr:y>
    </cdr:from>
    <cdr:to>
      <cdr:x>0.31995</cdr:x>
      <cdr:y>0.66015</cdr:y>
    </cdr:to>
    <cdr:sp macro="" textlink="">
      <cdr:nvSpPr>
        <cdr:cNvPr id="5" name="Поле 1"/>
        <cdr:cNvSpPr txBox="1"/>
      </cdr:nvSpPr>
      <cdr:spPr bwMode="auto">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dr:relSizeAnchor xmlns:cdr="http://schemas.openxmlformats.org/drawingml/2006/chartDrawing">
    <cdr:from>
      <cdr:x>0.24605</cdr:x>
      <cdr:y>0.76546</cdr:y>
    </cdr:from>
    <cdr:to>
      <cdr:x>0.32397</cdr:x>
      <cdr:y>0.84523</cdr:y>
    </cdr:to>
    <cdr:sp macro="" textlink="">
      <cdr:nvSpPr>
        <cdr:cNvPr id="8" name="Поле 1"/>
        <cdr:cNvSpPr txBox="1"/>
      </cdr:nvSpPr>
      <cdr:spPr bwMode="auto">
        <a:xfrm xmlns:a="http://schemas.openxmlformats.org/drawingml/2006/main">
          <a:off x="1429467"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dr:relSizeAnchor xmlns:cdr="http://schemas.openxmlformats.org/drawingml/2006/chartDrawing">
    <cdr:from>
      <cdr:x>0.15079</cdr:x>
      <cdr:y>0.33338</cdr:y>
    </cdr:from>
    <cdr:to>
      <cdr:x>0.27892</cdr:x>
      <cdr:y>0.4134</cdr:y>
    </cdr:to>
    <cdr:sp macro="" textlink="">
      <cdr:nvSpPr>
        <cdr:cNvPr id="12" name="Поле 1"/>
        <cdr:cNvSpPr txBox="1"/>
      </cdr:nvSpPr>
      <cdr:spPr bwMode="auto">
        <a:xfrm xmlns:a="http://schemas.openxmlformats.org/drawingml/2006/main">
          <a:off x="814270" y="793651"/>
          <a:ext cx="691907" cy="1904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defRPr/>
          </a:pPr>
          <a:r>
            <a:rPr lang="ru-RU" b="1">
              <a:latin typeface="Times New Roman"/>
              <a:cs typeface="Times New Roman"/>
            </a:rPr>
            <a:t>3 </a:t>
          </a:r>
          <a:r>
            <a:rPr lang="en-US" b="1">
              <a:latin typeface="Times New Roman"/>
              <a:cs typeface="Times New Roman"/>
            </a:rPr>
            <a:t>682</a:t>
          </a:r>
          <a:endParaRPr/>
        </a:p>
        <a:p xmlns:a="http://schemas.openxmlformats.org/drawingml/2006/main">
          <a:pPr>
            <a:defRPr/>
          </a:pPr>
          <a:endParaRPr lang="ru-RU" b="1">
            <a:latin typeface="Times New Roman"/>
            <a:cs typeface="Times New Roman"/>
          </a:endParaRPr>
        </a:p>
      </cdr:txBody>
    </cdr:sp>
  </cdr:relSizeAnchor>
  <cdr:relSizeAnchor xmlns:cdr="http://schemas.openxmlformats.org/drawingml/2006/chartDrawing">
    <cdr:from>
      <cdr:x>0.65986</cdr:x>
      <cdr:y>0.14101</cdr:y>
    </cdr:from>
    <cdr:to>
      <cdr:x>0.78774</cdr:x>
      <cdr:y>0.22078</cdr:y>
    </cdr:to>
    <cdr:sp macro="" textlink="">
      <cdr:nvSpPr>
        <cdr:cNvPr id="13" name="Поле 1"/>
        <cdr:cNvSpPr txBox="1"/>
      </cdr:nvSpPr>
      <cdr:spPr bwMode="auto">
        <a:xfrm xmlns:a="http://schemas.openxmlformats.org/drawingml/2006/main">
          <a:off x="3563273" y="335691"/>
          <a:ext cx="690557"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defRPr/>
          </a:pPr>
          <a:r>
            <a:rPr lang="en-US" b="1">
              <a:latin typeface="Times New Roman"/>
              <a:cs typeface="Times New Roman"/>
            </a:rPr>
            <a:t>5 701</a:t>
          </a:r>
        </a:p>
        <a:p xmlns:a="http://schemas.openxmlformats.org/drawingml/2006/main">
          <a:pPr>
            <a:defRPr/>
          </a:pPr>
          <a:endParaRPr lang="ru-RU" b="1">
            <a:latin typeface="Times New Roman"/>
            <a:cs typeface="Times New Roman"/>
          </a:endParaRPr>
        </a:p>
      </cdr:txBody>
    </cdr:sp>
  </cdr:relSizeAnchor>
  <cdr:relSizeAnchor xmlns:cdr="http://schemas.openxmlformats.org/drawingml/2006/chartDrawing">
    <cdr:from>
      <cdr:x>0.41354</cdr:x>
      <cdr:y>0.20678</cdr:y>
    </cdr:from>
    <cdr:to>
      <cdr:x>0.54143</cdr:x>
      <cdr:y>0.28655</cdr:y>
    </cdr:to>
    <cdr:sp macro="" textlink="">
      <cdr:nvSpPr>
        <cdr:cNvPr id="14" name="Поле 1"/>
        <cdr:cNvSpPr txBox="1"/>
      </cdr:nvSpPr>
      <cdr:spPr bwMode="auto">
        <a:xfrm xmlns:a="http://schemas.openxmlformats.org/drawingml/2006/main">
          <a:off x="2233110" y="492265"/>
          <a:ext cx="690611"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defRPr/>
          </a:pPr>
          <a:r>
            <a:rPr lang="en-US" b="1">
              <a:latin typeface="Times New Roman"/>
              <a:cs typeface="Times New Roman"/>
            </a:rPr>
            <a:t>4 </a:t>
          </a:r>
          <a:r>
            <a:rPr lang="ru-RU" b="1">
              <a:latin typeface="Times New Roman"/>
              <a:cs typeface="Times New Roman"/>
            </a:rPr>
            <a:t>924</a:t>
          </a:r>
          <a:endParaRPr lang="en-US" b="1">
            <a:latin typeface="Times New Roman"/>
            <a:cs typeface="Times New Roman"/>
          </a:endParaRPr>
        </a:p>
        <a:p xmlns:a="http://schemas.openxmlformats.org/drawingml/2006/main">
          <a:pPr>
            <a:defRPr/>
          </a:pPr>
          <a:endParaRPr lang="ru-RU" b="1">
            <a:latin typeface="Times New Roman"/>
            <a:cs typeface="Times New Roman"/>
          </a:endParaRPr>
        </a:p>
      </cdr:txBody>
    </cdr:sp>
  </cdr:relSizeAnchor>
  <cdr:relSizeAnchor xmlns:cdr="http://schemas.openxmlformats.org/drawingml/2006/chartDrawing">
    <cdr:from>
      <cdr:x>0.38257</cdr:x>
      <cdr:y>0.51825</cdr:y>
    </cdr:from>
    <cdr:to>
      <cdr:x>0.44324</cdr:x>
      <cdr:y>0.59827</cdr:y>
    </cdr:to>
    <cdr:sp macro="" textlink="">
      <cdr:nvSpPr>
        <cdr:cNvPr id="15" name="Поле 1"/>
        <cdr:cNvSpPr txBox="1"/>
      </cdr:nvSpPr>
      <cdr:spPr bwMode="auto">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dr:relSizeAnchor xmlns:cdr="http://schemas.openxmlformats.org/drawingml/2006/chartDrawing">
    <cdr:from>
      <cdr:x>0.38087</cdr:x>
      <cdr:y>0.59924</cdr:y>
    </cdr:from>
    <cdr:to>
      <cdr:x>0.45879</cdr:x>
      <cdr:y>0.67925</cdr:y>
    </cdr:to>
    <cdr:sp macro="" textlink="">
      <cdr:nvSpPr>
        <cdr:cNvPr id="16" name="Поле 1"/>
        <cdr:cNvSpPr txBox="1"/>
      </cdr:nvSpPr>
      <cdr:spPr bwMode="auto">
        <a:xfrm xmlns:a="http://schemas.openxmlformats.org/drawingml/2006/main">
          <a:off x="2149944" y="1898592"/>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dr:relSizeAnchor xmlns:cdr="http://schemas.openxmlformats.org/drawingml/2006/chartDrawing">
    <cdr:from>
      <cdr:x>0.37708</cdr:x>
      <cdr:y>0.69836</cdr:y>
    </cdr:from>
    <cdr:to>
      <cdr:x>0.45501</cdr:x>
      <cdr:y>0.77813</cdr:y>
    </cdr:to>
    <cdr:sp macro="" textlink="">
      <cdr:nvSpPr>
        <cdr:cNvPr id="17" name="Поле 1"/>
        <cdr:cNvSpPr txBox="1"/>
      </cdr:nvSpPr>
      <cdr:spPr bwMode="auto">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dr:relSizeAnchor xmlns:cdr="http://schemas.openxmlformats.org/drawingml/2006/chartDrawing">
    <cdr:from>
      <cdr:x>0.3774</cdr:x>
      <cdr:y>0.41554</cdr:y>
    </cdr:from>
    <cdr:to>
      <cdr:x>0.45532</cdr:x>
      <cdr:y>0.49531</cdr:y>
    </cdr:to>
    <cdr:sp macro="" textlink="">
      <cdr:nvSpPr>
        <cdr:cNvPr id="18" name="Поле 1"/>
        <cdr:cNvSpPr txBox="1"/>
      </cdr:nvSpPr>
      <cdr:spPr bwMode="auto">
        <a:xfrm xmlns:a="http://schemas.openxmlformats.org/drawingml/2006/main">
          <a:off x="2132274" y="133228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pPr>
            <a:defRPr/>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A896B-D8F2-4AF8-B4E6-6A5EE7F0A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31438</Words>
  <Characters>179200</Characters>
  <Application>Microsoft Office Word</Application>
  <DocSecurity>0</DocSecurity>
  <Lines>1493</Lines>
  <Paragraphs>420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Ежек Антон Юрьевич</dc:creator>
  <cp:keywords/>
  <dc:description/>
  <cp:lastModifiedBy>Канцурова Наталья Сергеевна</cp:lastModifiedBy>
  <cp:revision>29</cp:revision>
  <dcterms:created xsi:type="dcterms:W3CDTF">2025-04-10T13:26:00Z</dcterms:created>
  <dcterms:modified xsi:type="dcterms:W3CDTF">2025-05-12T07:11:00Z</dcterms:modified>
</cp:coreProperties>
</file>